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B8C51" w14:textId="6B1ACCEB" w:rsidR="0033334A" w:rsidRDefault="00072482" w:rsidP="009F5E8E">
      <w:pPr>
        <w:tabs>
          <w:tab w:val="left" w:pos="2390"/>
          <w:tab w:val="left" w:pos="6240"/>
        </w:tabs>
        <w:autoSpaceDE w:val="0"/>
        <w:autoSpaceDN w:val="0"/>
        <w:adjustRightInd w:val="0"/>
        <w:jc w:val="left"/>
        <w:rPr>
          <w:b/>
          <w:bCs/>
          <w:kern w:val="0"/>
          <w:sz w:val="24"/>
          <w:szCs w:val="24"/>
        </w:rPr>
      </w:pPr>
      <w:r>
        <w:rPr>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sz w:val="24"/>
        </w:rPr>
        <w:instrText>ADDIN CNKISM.UserStyle</w:instrText>
      </w:r>
      <w:r w:rsidR="00794C15">
        <w:rPr>
          <w:sz w:val="24"/>
        </w:rPr>
      </w:r>
      <w:r w:rsidR="00794C15">
        <w:rPr>
          <w:sz w:val="24"/>
        </w:rPr>
        <w:fldChar w:fldCharType="separate"/>
      </w:r>
      <w:r>
        <w:rPr>
          <w:sz w:val="24"/>
        </w:rPr>
        <w:fldChar w:fldCharType="end"/>
      </w:r>
      <w:r>
        <w:rPr>
          <w:sz w:val="24"/>
        </w:rPr>
        <w:t xml:space="preserve">Stock Code: </w:t>
      </w:r>
      <w:r>
        <w:rPr>
          <w:b/>
          <w:sz w:val="24"/>
        </w:rPr>
        <w:t>603799</w:t>
      </w:r>
      <w:r>
        <w:rPr>
          <w:sz w:val="24"/>
        </w:rPr>
        <w:tab/>
        <w:t xml:space="preserve">Stock Name: Huayou Cobalt </w:t>
      </w:r>
      <w:r w:rsidR="009F5E8E">
        <w:rPr>
          <w:sz w:val="24"/>
        </w:rPr>
        <w:t xml:space="preserve">  </w:t>
      </w:r>
      <w:r>
        <w:rPr>
          <w:sz w:val="24"/>
        </w:rPr>
        <w:t xml:space="preserve"> Announcement No.:</w:t>
      </w:r>
      <w:r>
        <w:rPr>
          <w:b/>
          <w:sz w:val="24"/>
        </w:rPr>
        <w:t>2025-</w:t>
      </w:r>
      <w:r w:rsidR="009F5E8E">
        <w:rPr>
          <w:b/>
          <w:sz w:val="24"/>
        </w:rPr>
        <w:t>120</w:t>
      </w:r>
    </w:p>
    <w:p w14:paraId="28BD2D5D" w14:textId="77777777" w:rsidR="0033334A" w:rsidRPr="009F5E8E" w:rsidRDefault="0033334A">
      <w:pPr>
        <w:autoSpaceDE w:val="0"/>
        <w:autoSpaceDN w:val="0"/>
        <w:adjustRightInd w:val="0"/>
        <w:jc w:val="left"/>
        <w:rPr>
          <w:kern w:val="0"/>
          <w:sz w:val="24"/>
          <w:szCs w:val="24"/>
        </w:rPr>
      </w:pPr>
    </w:p>
    <w:p w14:paraId="7C8205D9" w14:textId="77777777" w:rsidR="0033334A" w:rsidRDefault="0033334A">
      <w:pPr>
        <w:autoSpaceDE w:val="0"/>
        <w:autoSpaceDN w:val="0"/>
        <w:adjustRightInd w:val="0"/>
        <w:jc w:val="left"/>
        <w:rPr>
          <w:kern w:val="0"/>
          <w:sz w:val="24"/>
          <w:szCs w:val="24"/>
        </w:rPr>
      </w:pPr>
    </w:p>
    <w:p w14:paraId="23275776" w14:textId="77777777" w:rsidR="0033334A" w:rsidRDefault="00072482">
      <w:pPr>
        <w:autoSpaceDE w:val="0"/>
        <w:autoSpaceDN w:val="0"/>
        <w:adjustRightInd w:val="0"/>
        <w:spacing w:line="360" w:lineRule="auto"/>
        <w:jc w:val="center"/>
        <w:rPr>
          <w:b/>
          <w:color w:val="FF0000"/>
          <w:kern w:val="0"/>
          <w:sz w:val="32"/>
          <w:szCs w:val="32"/>
        </w:rPr>
      </w:pPr>
      <w:r>
        <w:rPr>
          <w:b/>
          <w:color w:val="FF0000"/>
          <w:sz w:val="32"/>
        </w:rPr>
        <w:t>Zhejiang Huayou Cobalt Co., Ltd.</w:t>
      </w:r>
    </w:p>
    <w:p w14:paraId="375306A3" w14:textId="77777777" w:rsidR="0033334A" w:rsidRDefault="00072482">
      <w:pPr>
        <w:autoSpaceDE w:val="0"/>
        <w:autoSpaceDN w:val="0"/>
        <w:adjustRightInd w:val="0"/>
        <w:spacing w:line="360" w:lineRule="auto"/>
        <w:jc w:val="center"/>
        <w:rPr>
          <w:b/>
          <w:color w:val="FF0000"/>
          <w:kern w:val="0"/>
          <w:sz w:val="32"/>
          <w:szCs w:val="32"/>
        </w:rPr>
      </w:pPr>
      <w:r>
        <w:rPr>
          <w:b/>
          <w:color w:val="FF0000"/>
          <w:sz w:val="32"/>
        </w:rPr>
        <w:t>Announcement on Repurchase and Cancellation of Incentive Restricted Shares</w:t>
      </w:r>
    </w:p>
    <w:tbl>
      <w:tblPr>
        <w:tblW w:w="0" w:type="auto"/>
        <w:jc w:val="center"/>
        <w:tblBorders>
          <w:top w:val="single" w:sz="12" w:space="0" w:color="558ED5"/>
          <w:left w:val="single" w:sz="12" w:space="0" w:color="558ED5"/>
          <w:bottom w:val="single" w:sz="12" w:space="0" w:color="558ED5"/>
          <w:right w:val="single" w:sz="12" w:space="0" w:color="558ED5"/>
          <w:insideH w:val="single" w:sz="4" w:space="0" w:color="auto"/>
        </w:tblBorders>
        <w:tblLook w:val="04A0" w:firstRow="1" w:lastRow="0" w:firstColumn="1" w:lastColumn="0" w:noHBand="0" w:noVBand="1"/>
      </w:tblPr>
      <w:tblGrid>
        <w:gridCol w:w="8610"/>
      </w:tblGrid>
      <w:tr w:rsidR="0033334A" w14:paraId="31CAB969" w14:textId="77777777">
        <w:trPr>
          <w:jc w:val="center"/>
        </w:trPr>
        <w:tc>
          <w:tcPr>
            <w:tcW w:w="8610" w:type="dxa"/>
          </w:tcPr>
          <w:p w14:paraId="07325A9C" w14:textId="77777777" w:rsidR="0033334A" w:rsidRDefault="00072482">
            <w:pPr>
              <w:autoSpaceDE w:val="0"/>
              <w:autoSpaceDN w:val="0"/>
              <w:adjustRightInd w:val="0"/>
              <w:snapToGrid w:val="0"/>
              <w:spacing w:beforeLines="25" w:before="60" w:afterLines="25" w:after="60" w:line="360" w:lineRule="auto"/>
              <w:ind w:firstLineChars="200" w:firstLine="480"/>
              <w:rPr>
                <w:b/>
                <w:color w:val="FF0000"/>
                <w:kern w:val="0"/>
                <w:sz w:val="32"/>
                <w:szCs w:val="32"/>
              </w:rPr>
            </w:pPr>
            <w:r>
              <w:rPr>
                <w:sz w:val="24"/>
              </w:rPr>
              <w:t>The Board of Directors and all directors of the Company warrant that there is no false representation, misleading statement or material omission herein, and will assume legal liabilities with respect to the truthfulness, accuracy and completeness hereof.</w:t>
            </w:r>
          </w:p>
        </w:tc>
      </w:tr>
    </w:tbl>
    <w:p w14:paraId="4937C776" w14:textId="77777777" w:rsidR="0033334A" w:rsidRDefault="0033334A">
      <w:pPr>
        <w:adjustRightInd w:val="0"/>
        <w:snapToGrid w:val="0"/>
        <w:ind w:firstLineChars="200" w:firstLine="480"/>
        <w:jc w:val="left"/>
        <w:rPr>
          <w:kern w:val="0"/>
          <w:sz w:val="24"/>
          <w:szCs w:val="24"/>
        </w:rPr>
      </w:pPr>
    </w:p>
    <w:p w14:paraId="7BEBDD4B" w14:textId="77777777" w:rsidR="0033334A" w:rsidRDefault="00072482">
      <w:pPr>
        <w:tabs>
          <w:tab w:val="left" w:pos="3100"/>
          <w:tab w:val="left" w:pos="6480"/>
        </w:tabs>
        <w:adjustRightInd w:val="0"/>
        <w:spacing w:beforeLines="50" w:before="120" w:afterLines="50" w:after="120" w:line="360" w:lineRule="auto"/>
        <w:ind w:firstLineChars="200" w:firstLine="482"/>
        <w:jc w:val="left"/>
        <w:rPr>
          <w:b/>
          <w:bCs/>
          <w:kern w:val="0"/>
          <w:sz w:val="24"/>
        </w:rPr>
      </w:pPr>
      <w:bookmarkStart w:id="0" w:name="_Hlk72427679"/>
      <w:r>
        <w:rPr>
          <w:b/>
          <w:sz w:val="24"/>
        </w:rPr>
        <w:t>Important Notice:</w:t>
      </w:r>
    </w:p>
    <w:p w14:paraId="229587E0" w14:textId="77777777" w:rsidR="0033334A" w:rsidRDefault="00072482">
      <w:pPr>
        <w:numPr>
          <w:ilvl w:val="0"/>
          <w:numId w:val="1"/>
        </w:numPr>
        <w:adjustRightInd w:val="0"/>
        <w:spacing w:beforeLines="50" w:before="120" w:afterLines="50" w:after="120" w:line="360" w:lineRule="auto"/>
        <w:ind w:left="0" w:firstLineChars="200" w:firstLine="482"/>
        <w:rPr>
          <w:b/>
          <w:bCs/>
          <w:kern w:val="0"/>
          <w:sz w:val="24"/>
        </w:rPr>
      </w:pPr>
      <w:r>
        <w:rPr>
          <w:b/>
          <w:sz w:val="24"/>
        </w:rPr>
        <w:t>Reasons for Repurchase and Cancellation:</w:t>
      </w:r>
    </w:p>
    <w:p w14:paraId="5D8A5924" w14:textId="77777777" w:rsidR="0033334A" w:rsidRDefault="00072482">
      <w:pPr>
        <w:adjustRightInd w:val="0"/>
        <w:snapToGrid w:val="0"/>
        <w:spacing w:beforeLines="50" w:before="120" w:afterLines="50" w:after="120" w:line="360" w:lineRule="auto"/>
        <w:ind w:firstLineChars="200" w:firstLine="480"/>
        <w:rPr>
          <w:kern w:val="0"/>
          <w:sz w:val="24"/>
        </w:rPr>
      </w:pPr>
      <w:r>
        <w:rPr>
          <w:sz w:val="24"/>
        </w:rPr>
        <w:t xml:space="preserve">Pursuant to the </w:t>
      </w:r>
      <w:r>
        <w:rPr>
          <w:i/>
          <w:iCs/>
          <w:sz w:val="24"/>
        </w:rPr>
        <w:t>Measures for the Administration of Equity Incentives of Listed Companies</w:t>
      </w:r>
      <w:r>
        <w:rPr>
          <w:sz w:val="24"/>
        </w:rPr>
        <w:t xml:space="preserve"> (the “Measures”) and other applicable laws and regulations, as well as the provisions of the </w:t>
      </w:r>
      <w:r>
        <w:rPr>
          <w:i/>
          <w:iCs/>
          <w:sz w:val="24"/>
        </w:rPr>
        <w:t>2023 Restricted Share Incentive Plan</w:t>
      </w:r>
      <w:r>
        <w:rPr>
          <w:sz w:val="24"/>
        </w:rPr>
        <w:t xml:space="preserve"> (the “2023 Incentive Plan”) and the </w:t>
      </w:r>
      <w:r>
        <w:rPr>
          <w:i/>
          <w:iCs/>
          <w:sz w:val="24"/>
        </w:rPr>
        <w:t>2024 Restricted Share Incentive Plan</w:t>
      </w:r>
      <w:r>
        <w:rPr>
          <w:sz w:val="24"/>
        </w:rPr>
        <w:t xml:space="preserve"> (the “2024 Incentive Plan”) of Zhejiang Huayou Cobalt Co., Ltd. (the “Company”), the Company has decided to repurchase and cancel a total of 3,174,980 restricted shares that have been granted but not yet vested on the grounds that: (</w:t>
      </w:r>
      <w:proofErr w:type="spellStart"/>
      <w:r>
        <w:rPr>
          <w:sz w:val="24"/>
        </w:rPr>
        <w:t>i</w:t>
      </w:r>
      <w:proofErr w:type="spellEnd"/>
      <w:r>
        <w:rPr>
          <w:sz w:val="24"/>
        </w:rPr>
        <w:t>) certain participants under the 2023 Incentive Plan and the 2024 Incentive Plan have become ineligible to participate for cause; and (ii) certain restricted shares under the initial grant of the 2023 Incentive Plan are ineligible for vesting due to the failure to meet the company-level performance assessment for the second vesting period.</w:t>
      </w:r>
    </w:p>
    <w:p w14:paraId="1F8A9FD5" w14:textId="77777777" w:rsidR="0033334A" w:rsidRDefault="00072482">
      <w:pPr>
        <w:numPr>
          <w:ilvl w:val="0"/>
          <w:numId w:val="1"/>
        </w:numPr>
        <w:adjustRightInd w:val="0"/>
        <w:spacing w:beforeLines="50" w:before="120" w:afterLines="50" w:after="120" w:line="360" w:lineRule="auto"/>
        <w:ind w:left="0" w:firstLineChars="200" w:firstLine="482"/>
        <w:rPr>
          <w:b/>
          <w:bCs/>
          <w:kern w:val="0"/>
          <w:sz w:val="24"/>
        </w:rPr>
      </w:pPr>
      <w:r>
        <w:rPr>
          <w:b/>
          <w:sz w:val="24"/>
        </w:rPr>
        <w:t>Particulars of Shares Subject to Cancellation: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575"/>
        <w:gridCol w:w="2530"/>
      </w:tblGrid>
      <w:tr w:rsidR="0033334A" w14:paraId="3AC06239" w14:textId="77777777">
        <w:trPr>
          <w:trHeight w:hRule="exact" w:val="675"/>
          <w:jc w:val="center"/>
        </w:trPr>
        <w:tc>
          <w:tcPr>
            <w:tcW w:w="2570" w:type="dxa"/>
            <w:shd w:val="clear" w:color="auto" w:fill="auto"/>
            <w:vAlign w:val="center"/>
          </w:tcPr>
          <w:p w14:paraId="24227B7B" w14:textId="77777777" w:rsidR="0033334A" w:rsidRDefault="00072482">
            <w:pPr>
              <w:jc w:val="center"/>
              <w:rPr>
                <w:sz w:val="24"/>
              </w:rPr>
            </w:pPr>
            <w:r>
              <w:rPr>
                <w:sz w:val="24"/>
              </w:rPr>
              <w:t>Number of Shares to be Repurchased</w:t>
            </w:r>
          </w:p>
        </w:tc>
        <w:tc>
          <w:tcPr>
            <w:tcW w:w="2575" w:type="dxa"/>
            <w:shd w:val="clear" w:color="auto" w:fill="auto"/>
            <w:vAlign w:val="center"/>
          </w:tcPr>
          <w:p w14:paraId="59E7F400" w14:textId="77777777" w:rsidR="0033334A" w:rsidRDefault="00072482">
            <w:pPr>
              <w:jc w:val="center"/>
              <w:rPr>
                <w:sz w:val="24"/>
              </w:rPr>
            </w:pPr>
            <w:r>
              <w:rPr>
                <w:sz w:val="24"/>
              </w:rPr>
              <w:t>Number of Shares to be Canceled</w:t>
            </w:r>
          </w:p>
        </w:tc>
        <w:tc>
          <w:tcPr>
            <w:tcW w:w="2530" w:type="dxa"/>
            <w:shd w:val="clear" w:color="auto" w:fill="auto"/>
            <w:vAlign w:val="center"/>
          </w:tcPr>
          <w:p w14:paraId="3288876E" w14:textId="77777777" w:rsidR="0033334A" w:rsidRDefault="00072482">
            <w:pPr>
              <w:jc w:val="center"/>
              <w:rPr>
                <w:sz w:val="24"/>
              </w:rPr>
            </w:pPr>
            <w:r>
              <w:rPr>
                <w:sz w:val="24"/>
              </w:rPr>
              <w:t>Cancellation Date</w:t>
            </w:r>
          </w:p>
        </w:tc>
      </w:tr>
      <w:tr w:rsidR="0033334A" w14:paraId="3465D889" w14:textId="77777777">
        <w:trPr>
          <w:trHeight w:hRule="exact" w:val="397"/>
          <w:jc w:val="center"/>
        </w:trPr>
        <w:tc>
          <w:tcPr>
            <w:tcW w:w="2570" w:type="dxa"/>
            <w:shd w:val="clear" w:color="auto" w:fill="auto"/>
            <w:vAlign w:val="center"/>
          </w:tcPr>
          <w:p w14:paraId="018507B1" w14:textId="77777777" w:rsidR="0033334A" w:rsidRDefault="00072482">
            <w:pPr>
              <w:jc w:val="center"/>
              <w:rPr>
                <w:sz w:val="24"/>
              </w:rPr>
            </w:pPr>
            <w:r>
              <w:rPr>
                <w:sz w:val="24"/>
              </w:rPr>
              <w:t>3,174,980</w:t>
            </w:r>
          </w:p>
        </w:tc>
        <w:tc>
          <w:tcPr>
            <w:tcW w:w="2575" w:type="dxa"/>
            <w:shd w:val="clear" w:color="auto" w:fill="auto"/>
            <w:vAlign w:val="center"/>
          </w:tcPr>
          <w:p w14:paraId="6784C2C0" w14:textId="77777777" w:rsidR="0033334A" w:rsidRDefault="00072482">
            <w:pPr>
              <w:jc w:val="center"/>
              <w:rPr>
                <w:sz w:val="24"/>
              </w:rPr>
            </w:pPr>
            <w:r>
              <w:rPr>
                <w:sz w:val="24"/>
              </w:rPr>
              <w:t>3,174,980</w:t>
            </w:r>
          </w:p>
        </w:tc>
        <w:tc>
          <w:tcPr>
            <w:tcW w:w="2530" w:type="dxa"/>
            <w:shd w:val="clear" w:color="auto" w:fill="auto"/>
            <w:vAlign w:val="center"/>
          </w:tcPr>
          <w:p w14:paraId="6B303B75" w14:textId="302C7654" w:rsidR="0033334A" w:rsidRDefault="009F5E8E">
            <w:pPr>
              <w:jc w:val="center"/>
              <w:rPr>
                <w:sz w:val="24"/>
              </w:rPr>
            </w:pPr>
            <w:r>
              <w:rPr>
                <w:rFonts w:hint="eastAsia"/>
                <w:sz w:val="24"/>
              </w:rPr>
              <w:t>October</w:t>
            </w:r>
            <w:r w:rsidR="00072482">
              <w:rPr>
                <w:sz w:val="24"/>
              </w:rPr>
              <w:t xml:space="preserve"> </w:t>
            </w:r>
            <w:r>
              <w:rPr>
                <w:sz w:val="24"/>
              </w:rPr>
              <w:t>3</w:t>
            </w:r>
            <w:r w:rsidR="00401C35">
              <w:rPr>
                <w:sz w:val="24"/>
              </w:rPr>
              <w:t>1</w:t>
            </w:r>
            <w:r w:rsidR="00072482">
              <w:rPr>
                <w:sz w:val="24"/>
              </w:rPr>
              <w:t>, 2025</w:t>
            </w:r>
          </w:p>
        </w:tc>
      </w:tr>
    </w:tbl>
    <w:p w14:paraId="4230E24D" w14:textId="77777777" w:rsidR="0033334A" w:rsidRDefault="0033334A">
      <w:pPr>
        <w:spacing w:line="360" w:lineRule="auto"/>
        <w:ind w:firstLineChars="200" w:firstLine="480"/>
        <w:rPr>
          <w:sz w:val="24"/>
          <w:szCs w:val="24"/>
        </w:rPr>
      </w:pPr>
    </w:p>
    <w:bookmarkEnd w:id="0"/>
    <w:p w14:paraId="68667857" w14:textId="77777777" w:rsidR="0033334A" w:rsidRDefault="00072482">
      <w:pPr>
        <w:pStyle w:val="1"/>
        <w:spacing w:beforeLines="50" w:before="120" w:afterLines="50" w:after="120" w:line="360" w:lineRule="auto"/>
        <w:ind w:firstLineChars="200" w:firstLine="482"/>
        <w:rPr>
          <w:rFonts w:ascii="Times New Roman" w:eastAsia="宋体" w:hAnsi="Times New Roman" w:cs="Times New Roman"/>
          <w:sz w:val="24"/>
          <w:szCs w:val="16"/>
        </w:rPr>
      </w:pPr>
      <w:r>
        <w:rPr>
          <w:rFonts w:ascii="Times New Roman" w:eastAsia="宋体" w:hAnsi="Times New Roman" w:cs="Times New Roman" w:hint="eastAsia"/>
          <w:sz w:val="24"/>
          <w:szCs w:val="16"/>
        </w:rPr>
        <w:t>I. Decision Making and Information Disclosure Regarding the Repurchase and Cancellation of Restricted Shares</w:t>
      </w:r>
    </w:p>
    <w:p w14:paraId="3E238FAD" w14:textId="77777777" w:rsidR="0033334A" w:rsidRDefault="00072482">
      <w:pPr>
        <w:tabs>
          <w:tab w:val="left" w:pos="3100"/>
          <w:tab w:val="left" w:pos="6480"/>
        </w:tabs>
        <w:adjustRightInd w:val="0"/>
        <w:spacing w:beforeLines="50" w:before="120" w:afterLines="50" w:after="120" w:line="360" w:lineRule="auto"/>
        <w:ind w:firstLineChars="200" w:firstLine="480"/>
        <w:rPr>
          <w:kern w:val="0"/>
          <w:sz w:val="24"/>
        </w:rPr>
      </w:pPr>
      <w:r>
        <w:rPr>
          <w:sz w:val="24"/>
        </w:rPr>
        <w:t xml:space="preserve">On June 11, 2025, the Company convened the 30th meeting of the </w:t>
      </w:r>
      <w:r>
        <w:rPr>
          <w:rFonts w:hint="eastAsia"/>
          <w:sz w:val="24"/>
        </w:rPr>
        <w:t>s</w:t>
      </w:r>
      <w:r>
        <w:rPr>
          <w:sz w:val="24"/>
        </w:rPr>
        <w:t xml:space="preserve">ixth </w:t>
      </w:r>
      <w:r>
        <w:rPr>
          <w:rFonts w:hint="eastAsia"/>
          <w:sz w:val="24"/>
          <w:szCs w:val="24"/>
        </w:rPr>
        <w:t xml:space="preserve">session of the </w:t>
      </w:r>
      <w:r>
        <w:rPr>
          <w:sz w:val="24"/>
        </w:rPr>
        <w:lastRenderedPageBreak/>
        <w:t xml:space="preserve">Board of Directors and the 21st meeting of the </w:t>
      </w:r>
      <w:r>
        <w:rPr>
          <w:rFonts w:hint="eastAsia"/>
          <w:sz w:val="24"/>
          <w:szCs w:val="24"/>
        </w:rPr>
        <w:t xml:space="preserve">session of the </w:t>
      </w:r>
      <w:r>
        <w:rPr>
          <w:rFonts w:hint="eastAsia"/>
          <w:sz w:val="24"/>
        </w:rPr>
        <w:t>s</w:t>
      </w:r>
      <w:r>
        <w:rPr>
          <w:sz w:val="24"/>
        </w:rPr>
        <w:t xml:space="preserve">ixth Board of Supervisors, at which the </w:t>
      </w:r>
      <w:r>
        <w:rPr>
          <w:i/>
          <w:iCs/>
          <w:sz w:val="24"/>
        </w:rPr>
        <w:t>Proposal on Repurchase and Cancellation of Certain Restricted Shares</w:t>
      </w:r>
      <w:r>
        <w:rPr>
          <w:sz w:val="24"/>
        </w:rPr>
        <w:t xml:space="preserve"> was </w:t>
      </w:r>
      <w:r>
        <w:rPr>
          <w:rFonts w:hint="eastAsia"/>
          <w:sz w:val="24"/>
        </w:rPr>
        <w:t>deliberated</w:t>
      </w:r>
      <w:r>
        <w:rPr>
          <w:sz w:val="24"/>
        </w:rPr>
        <w:t xml:space="preserve"> and approved. Whereas (</w:t>
      </w:r>
      <w:proofErr w:type="spellStart"/>
      <w:r>
        <w:rPr>
          <w:sz w:val="24"/>
        </w:rPr>
        <w:t>i</w:t>
      </w:r>
      <w:proofErr w:type="spellEnd"/>
      <w:r>
        <w:rPr>
          <w:sz w:val="24"/>
        </w:rPr>
        <w:t xml:space="preserve">) certain participants under the 2023 Incentive Plan and the 2024 Incentive Plan have become ineligible to participate for cause, and (ii) certain restricted shares under the initial grant of the 2023 Incentive Plan are ineligible for vesting due to the failure to meet the company-level performance assessment for the second vesting period, the Company agrees, pursuant to the Measures, the 2023 Incentive Plan and the 2024 Incentive Plan, to repurchase and cancel a total of 3,174,980 restricted shares that have been granted to such participants but not yet vested. For further details, please refer to the </w:t>
      </w:r>
      <w:r>
        <w:rPr>
          <w:i/>
          <w:iCs/>
          <w:sz w:val="24"/>
        </w:rPr>
        <w:t>Announcement of Huayou Cobalt on the Proposed Repurchase and Cancellation of Certain Restricted Shares</w:t>
      </w:r>
      <w:r>
        <w:rPr>
          <w:sz w:val="24"/>
        </w:rPr>
        <w:t xml:space="preserve"> (Announcement No.: 2025-064), as disclosed by the Company on June 12, 2025, through the website of the Shanghai Stock Exchange and designated information disclosure media.</w:t>
      </w:r>
    </w:p>
    <w:p w14:paraId="754BB32A" w14:textId="77777777" w:rsidR="0033334A" w:rsidRDefault="00072482">
      <w:pPr>
        <w:tabs>
          <w:tab w:val="left" w:pos="3100"/>
          <w:tab w:val="left" w:pos="6480"/>
        </w:tabs>
        <w:adjustRightInd w:val="0"/>
        <w:spacing w:beforeLines="50" w:before="120" w:afterLines="50" w:after="120" w:line="360" w:lineRule="auto"/>
        <w:ind w:firstLineChars="200" w:firstLine="480"/>
        <w:rPr>
          <w:kern w:val="0"/>
          <w:sz w:val="24"/>
        </w:rPr>
      </w:pPr>
      <w:r>
        <w:rPr>
          <w:sz w:val="24"/>
        </w:rPr>
        <w:t xml:space="preserve">On July 2, 2025, the Company convened the Second Extraordinary General Meeting of Shareholders 2025, at which the </w:t>
      </w:r>
      <w:r>
        <w:rPr>
          <w:i/>
          <w:iCs/>
          <w:sz w:val="24"/>
        </w:rPr>
        <w:t xml:space="preserve">Proposal on Changing </w:t>
      </w:r>
      <w:r>
        <w:rPr>
          <w:rFonts w:hint="eastAsia"/>
          <w:i/>
          <w:iCs/>
          <w:sz w:val="24"/>
        </w:rPr>
        <w:t xml:space="preserve">the </w:t>
      </w:r>
      <w:bookmarkStart w:id="1" w:name="OLE_LINK33"/>
      <w:bookmarkStart w:id="2" w:name="OLE_LINK32"/>
      <w:r>
        <w:rPr>
          <w:i/>
          <w:iCs/>
          <w:sz w:val="24"/>
        </w:rPr>
        <w:t>Registered Capital</w:t>
      </w:r>
      <w:bookmarkEnd w:id="1"/>
      <w:bookmarkEnd w:id="2"/>
      <w:r>
        <w:rPr>
          <w:i/>
          <w:iCs/>
          <w:sz w:val="24"/>
        </w:rPr>
        <w:t xml:space="preserve"> and Amending the Articles of Association of the Company</w:t>
      </w:r>
      <w:r>
        <w:rPr>
          <w:sz w:val="24"/>
        </w:rPr>
        <w:t xml:space="preserve"> was </w:t>
      </w:r>
      <w:r>
        <w:rPr>
          <w:rFonts w:hint="eastAsia"/>
          <w:sz w:val="24"/>
        </w:rPr>
        <w:t>deliberated</w:t>
      </w:r>
      <w:r>
        <w:rPr>
          <w:sz w:val="24"/>
        </w:rPr>
        <w:t xml:space="preserve"> and approved. On July 3, 2025, the Company disclosed the </w:t>
      </w:r>
      <w:r>
        <w:rPr>
          <w:i/>
          <w:iCs/>
          <w:sz w:val="24"/>
        </w:rPr>
        <w:t>Announcement of Huayou Cobalt on the Resolutions of the Second Extraordinary General Meeting of Shareholders 2025</w:t>
      </w:r>
      <w:r>
        <w:rPr>
          <w:sz w:val="24"/>
        </w:rPr>
        <w:t xml:space="preserve"> (Announcement No.: 2025-073) and the </w:t>
      </w:r>
      <w:r>
        <w:rPr>
          <w:i/>
          <w:iCs/>
          <w:sz w:val="24"/>
        </w:rPr>
        <w:t>Announcement of Huayou Cobalt on the Repurchase and Cancellation of Certain Restricted Shares and Notification to Creditors</w:t>
      </w:r>
      <w:r>
        <w:rPr>
          <w:sz w:val="24"/>
        </w:rPr>
        <w:t xml:space="preserve"> (Announcement N</w:t>
      </w:r>
      <w:r>
        <w:rPr>
          <w:rFonts w:hint="eastAsia"/>
          <w:sz w:val="24"/>
        </w:rPr>
        <w:t>o</w:t>
      </w:r>
      <w:r>
        <w:rPr>
          <w:sz w:val="24"/>
        </w:rPr>
        <w:t>.: 2025-074) through the website of the Shanghai Stock Exchange and designated information disclosure media. The Company has notified its creditors of the share repurchase and cancellation in accordance with applicable laws and regulations. As of the date of this announcement, a publicity period of 45 days has lapsed, during which the Company did not receive any request from its creditors for debt repayment or provision of corresponding security. Therefore, the repurchase and cancellation will be carried out in due course.</w:t>
      </w:r>
    </w:p>
    <w:p w14:paraId="742551DC" w14:textId="77777777" w:rsidR="0033334A" w:rsidRDefault="00072482">
      <w:pPr>
        <w:pStyle w:val="1"/>
        <w:spacing w:beforeLines="50" w:before="120" w:afterLines="50" w:after="120" w:line="360" w:lineRule="auto"/>
        <w:ind w:firstLineChars="200" w:firstLine="482"/>
        <w:rPr>
          <w:rFonts w:ascii="Times New Roman" w:eastAsia="宋体" w:hAnsi="Times New Roman" w:cs="Times New Roman"/>
          <w:sz w:val="24"/>
          <w:szCs w:val="16"/>
        </w:rPr>
      </w:pPr>
      <w:r>
        <w:rPr>
          <w:rFonts w:ascii="Times New Roman" w:eastAsia="宋体" w:hAnsi="Times New Roman" w:cs="Times New Roman" w:hint="eastAsia"/>
          <w:sz w:val="24"/>
          <w:szCs w:val="16"/>
        </w:rPr>
        <w:t>II.</w:t>
      </w:r>
      <w:r>
        <w:rPr>
          <w:rFonts w:ascii="Times New Roman" w:hAnsi="Times New Roman" w:cs="Times New Roman"/>
          <w:sz w:val="24"/>
        </w:rPr>
        <w:t xml:space="preserve"> Repurchase and Cancellation of the Restricted Shares</w:t>
      </w:r>
    </w:p>
    <w:p w14:paraId="56C24BA6" w14:textId="77777777" w:rsidR="0033334A" w:rsidRDefault="00072482">
      <w:pPr>
        <w:pStyle w:val="2"/>
        <w:spacing w:beforeLines="50" w:before="120" w:afterLines="50" w:after="120" w:line="360" w:lineRule="auto"/>
        <w:ind w:firstLineChars="200" w:firstLine="482"/>
        <w:rPr>
          <w:rFonts w:ascii="Times New Roman" w:eastAsia="宋体" w:hAnsi="Times New Roman" w:cs="Times New Roman"/>
          <w:sz w:val="24"/>
          <w:szCs w:val="16"/>
        </w:rPr>
      </w:pPr>
      <w:r>
        <w:rPr>
          <w:rFonts w:ascii="Times New Roman" w:eastAsia="宋体" w:hAnsi="Times New Roman" w:cs="Times New Roman" w:hint="eastAsia"/>
          <w:sz w:val="24"/>
          <w:szCs w:val="16"/>
        </w:rPr>
        <w:t xml:space="preserve">(I) </w:t>
      </w:r>
      <w:r>
        <w:rPr>
          <w:rFonts w:ascii="Times New Roman" w:hAnsi="Times New Roman" w:cs="Times New Roman"/>
          <w:sz w:val="24"/>
        </w:rPr>
        <w:t>Reasons and basis for repurchase and cancellation of the restricted shares</w:t>
      </w:r>
    </w:p>
    <w:p w14:paraId="76DCFA57" w14:textId="77777777" w:rsidR="0033334A" w:rsidRDefault="00072482">
      <w:pPr>
        <w:tabs>
          <w:tab w:val="left" w:pos="1276"/>
          <w:tab w:val="left" w:pos="6480"/>
        </w:tabs>
        <w:spacing w:beforeLines="50" w:before="120" w:afterLines="50" w:after="120" w:line="360" w:lineRule="auto"/>
        <w:ind w:firstLineChars="200" w:firstLine="480"/>
        <w:rPr>
          <w:kern w:val="0"/>
          <w:sz w:val="24"/>
        </w:rPr>
      </w:pPr>
      <w:r>
        <w:rPr>
          <w:kern w:val="0"/>
          <w:sz w:val="24"/>
        </w:rPr>
        <w:t>1.</w:t>
      </w:r>
      <w:r>
        <w:rPr>
          <w:rFonts w:hint="eastAsia"/>
          <w:kern w:val="0"/>
          <w:sz w:val="24"/>
        </w:rPr>
        <w:t xml:space="preserve"> </w:t>
      </w:r>
      <w:r>
        <w:rPr>
          <w:sz w:val="24"/>
        </w:rPr>
        <w:t>Repurchase and cancellation due to participants’ ineligibility to receive incentives</w:t>
      </w:r>
    </w:p>
    <w:p w14:paraId="167CD00C" w14:textId="77777777" w:rsidR="0033334A" w:rsidRDefault="00072482">
      <w:pPr>
        <w:numPr>
          <w:ilvl w:val="255"/>
          <w:numId w:val="0"/>
        </w:numPr>
        <w:tabs>
          <w:tab w:val="left" w:pos="3100"/>
          <w:tab w:val="left" w:pos="6480"/>
        </w:tabs>
        <w:spacing w:beforeLines="50" w:before="120" w:afterLines="50" w:after="120" w:line="360" w:lineRule="auto"/>
        <w:ind w:firstLineChars="200" w:firstLine="480"/>
        <w:rPr>
          <w:kern w:val="0"/>
          <w:sz w:val="24"/>
        </w:rPr>
      </w:pPr>
      <w:r>
        <w:rPr>
          <w:sz w:val="24"/>
        </w:rPr>
        <w:lastRenderedPageBreak/>
        <w:t>Pursuant to the Measures and other applicable laws and regulations, as well as the provisions of Chapter XIII “Treatment of Abnormalities Regarding the Company/Incentive Participants” of the Company’s 2023 Incentive Plan and 2024 Incentive Plan, the Company intends to repurchase and cancel a total of 390,200 restricted shares that have been granted but not yet vested, on the grounds that certain participants under the 2023 Incentive Plan and the 2024 Incentive Plan have become ineligible to participate for cause.</w:t>
      </w:r>
    </w:p>
    <w:p w14:paraId="4D461A53" w14:textId="77777777" w:rsidR="0033334A" w:rsidRDefault="00072482">
      <w:pPr>
        <w:tabs>
          <w:tab w:val="left" w:pos="1276"/>
          <w:tab w:val="left" w:pos="6480"/>
        </w:tabs>
        <w:spacing w:beforeLines="50" w:before="120" w:afterLines="50" w:after="120" w:line="360" w:lineRule="auto"/>
        <w:ind w:firstLineChars="200" w:firstLine="480"/>
        <w:rPr>
          <w:sz w:val="24"/>
        </w:rPr>
      </w:pPr>
      <w:r>
        <w:rPr>
          <w:sz w:val="24"/>
        </w:rPr>
        <w:t>2.</w:t>
      </w:r>
      <w:r>
        <w:rPr>
          <w:rFonts w:hint="eastAsia"/>
          <w:sz w:val="24"/>
        </w:rPr>
        <w:t xml:space="preserve"> </w:t>
      </w:r>
      <w:r>
        <w:rPr>
          <w:sz w:val="24"/>
        </w:rPr>
        <w:t>Repurchase and cancellation due to the failure by certain restricted shares under the initial grant of the 2023 Incentive Plan to meet the company-level performance assessment for the second vesting period</w:t>
      </w:r>
    </w:p>
    <w:p w14:paraId="156CC450" w14:textId="77777777" w:rsidR="0033334A" w:rsidRDefault="00072482">
      <w:pPr>
        <w:numPr>
          <w:ilvl w:val="255"/>
          <w:numId w:val="0"/>
        </w:numPr>
        <w:tabs>
          <w:tab w:val="left" w:pos="3100"/>
          <w:tab w:val="left" w:pos="6480"/>
        </w:tabs>
        <w:spacing w:beforeLines="50" w:before="120" w:afterLines="50" w:after="120" w:line="360" w:lineRule="auto"/>
        <w:ind w:firstLineChars="200" w:firstLine="480"/>
        <w:rPr>
          <w:sz w:val="24"/>
        </w:rPr>
      </w:pPr>
      <w:r>
        <w:rPr>
          <w:sz w:val="24"/>
        </w:rPr>
        <w:t>Pursuant to the Measures and other applicable laws and regulations, as well as the provisions of Chapter VIII “Grant and Vesting Conditions of Restricted Shares” of the Company’s 2023 Incentive Plan, the Company intends to repurchase and cancel a total of 2,784,780 restricted shares granted under the 2023 Incentive Plan that are ineligible for vesting due to failure to meet the company-level performance assessment for the second vesting period.</w:t>
      </w:r>
    </w:p>
    <w:p w14:paraId="08B3E298" w14:textId="77777777" w:rsidR="0033334A" w:rsidRDefault="00072482">
      <w:pPr>
        <w:pStyle w:val="2"/>
        <w:spacing w:beforeLines="50" w:before="120" w:afterLines="50" w:after="120" w:line="360" w:lineRule="auto"/>
        <w:ind w:firstLineChars="200" w:firstLine="482"/>
        <w:rPr>
          <w:rFonts w:ascii="Times New Roman" w:eastAsia="宋体" w:hAnsi="Times New Roman" w:cs="Times New Roman"/>
          <w:sz w:val="24"/>
          <w:szCs w:val="16"/>
        </w:rPr>
      </w:pPr>
      <w:r>
        <w:rPr>
          <w:rFonts w:ascii="Times New Roman" w:eastAsia="宋体" w:hAnsi="Times New Roman" w:cs="Times New Roman" w:hint="eastAsia"/>
          <w:sz w:val="24"/>
          <w:szCs w:val="16"/>
        </w:rPr>
        <w:t xml:space="preserve">(II) </w:t>
      </w:r>
      <w:r>
        <w:rPr>
          <w:rFonts w:ascii="Times New Roman" w:hAnsi="Times New Roman" w:cs="Times New Roman"/>
          <w:sz w:val="24"/>
        </w:rPr>
        <w:t>Number of individuals involved in the repurchase and cancellation</w:t>
      </w:r>
    </w:p>
    <w:p w14:paraId="7808972A" w14:textId="77777777" w:rsidR="0033334A" w:rsidRDefault="00072482">
      <w:pPr>
        <w:tabs>
          <w:tab w:val="left" w:pos="3100"/>
          <w:tab w:val="left" w:pos="6480"/>
        </w:tabs>
        <w:spacing w:beforeLines="50" w:before="120" w:afterLines="50" w:after="120" w:line="360" w:lineRule="auto"/>
        <w:ind w:firstLineChars="200" w:firstLine="480"/>
        <w:rPr>
          <w:kern w:val="0"/>
          <w:sz w:val="24"/>
        </w:rPr>
      </w:pPr>
      <w:r>
        <w:rPr>
          <w:sz w:val="24"/>
        </w:rPr>
        <w:t>A total of 3,174,980 restricted shares are subject to repurchase and cancellation. Among the participants under the 2023 Incentive Plan, 10 participants left the Company due to involuntary position transfers or layoffs, 2 participants retired, 59 participants voluntarily resigned for personal reasons, and 1 participant was dismissed for personal fault, involving a total of 271,500 restricted shares subject to repurchase and cancellation. In addition, 2,784,780 restricted shares granted under the 2023 Incentive Plan are subject to repurchase and cancellation due to the failure to meet the company-level performance assessment for the second vesting period. Among the participants under the 2024 Incentive Plan, 2 participants left the Company due to involuntary position transfers or layoffs, and 15 participants voluntarily resigned for personal reasons, involving a total of 118,700 restricted shares subject to repurchase and cancellation.</w:t>
      </w:r>
    </w:p>
    <w:p w14:paraId="7C9C1E11" w14:textId="77777777" w:rsidR="0033334A" w:rsidRDefault="00072482">
      <w:pPr>
        <w:pStyle w:val="2"/>
        <w:spacing w:beforeLines="50" w:before="120" w:afterLines="50" w:after="120" w:line="360" w:lineRule="auto"/>
        <w:ind w:firstLineChars="200" w:firstLine="482"/>
        <w:rPr>
          <w:rFonts w:ascii="Times New Roman" w:eastAsia="宋体" w:hAnsi="Times New Roman" w:cs="Times New Roman"/>
          <w:sz w:val="24"/>
          <w:szCs w:val="16"/>
        </w:rPr>
      </w:pPr>
      <w:r>
        <w:rPr>
          <w:rFonts w:ascii="Times New Roman" w:eastAsia="宋体" w:hAnsi="Times New Roman" w:cs="Times New Roman" w:hint="eastAsia"/>
          <w:sz w:val="24"/>
          <w:szCs w:val="16"/>
        </w:rPr>
        <w:t xml:space="preserve">(III) </w:t>
      </w:r>
      <w:r>
        <w:rPr>
          <w:rFonts w:ascii="Times New Roman" w:hAnsi="Times New Roman" w:cs="Times New Roman"/>
          <w:sz w:val="24"/>
        </w:rPr>
        <w:t>Arrangements for repurchase and cancellation</w:t>
      </w:r>
    </w:p>
    <w:p w14:paraId="0C3A5D1A" w14:textId="77777777" w:rsidR="0033334A" w:rsidRDefault="00072482">
      <w:pPr>
        <w:tabs>
          <w:tab w:val="left" w:pos="3100"/>
          <w:tab w:val="left" w:pos="6480"/>
        </w:tabs>
        <w:spacing w:beforeLines="50" w:before="120" w:afterLines="50" w:after="120" w:line="360" w:lineRule="auto"/>
        <w:ind w:firstLineChars="200" w:firstLine="480"/>
        <w:rPr>
          <w:kern w:val="0"/>
          <w:sz w:val="24"/>
        </w:rPr>
      </w:pPr>
      <w:r>
        <w:rPr>
          <w:sz w:val="24"/>
        </w:rPr>
        <w:t xml:space="preserve">The Company has opened a special securities account for repurchase with Shanghai Branch of China Securities Depository and Clearing Corporation Limited (the “CSDC”), </w:t>
      </w:r>
      <w:r>
        <w:rPr>
          <w:sz w:val="24"/>
        </w:rPr>
        <w:lastRenderedPageBreak/>
        <w:t xml:space="preserve">and has also applied to the CSDC for the repurchase and cancellation of the said restricted shares. </w:t>
      </w:r>
    </w:p>
    <w:p w14:paraId="361269B7" w14:textId="0094945B" w:rsidR="0033334A" w:rsidRDefault="00072482">
      <w:pPr>
        <w:tabs>
          <w:tab w:val="left" w:pos="3100"/>
          <w:tab w:val="left" w:pos="6480"/>
        </w:tabs>
        <w:spacing w:beforeLines="50" w:before="120" w:afterLines="50" w:after="120" w:line="360" w:lineRule="auto"/>
        <w:ind w:firstLineChars="200" w:firstLine="480"/>
        <w:rPr>
          <w:kern w:val="0"/>
          <w:sz w:val="24"/>
        </w:rPr>
      </w:pPr>
      <w:r>
        <w:rPr>
          <w:sz w:val="24"/>
        </w:rPr>
        <w:t>The restricted shares are expected to be canceled on October 3</w:t>
      </w:r>
      <w:r w:rsidR="00401C35">
        <w:rPr>
          <w:sz w:val="24"/>
        </w:rPr>
        <w:t>1</w:t>
      </w:r>
      <w:r>
        <w:rPr>
          <w:sz w:val="24"/>
        </w:rPr>
        <w:t>, 2025, after which the Company will complete the relevant change registration procedures with the competent administration for industry and commerce in accordance with the law.</w:t>
      </w:r>
    </w:p>
    <w:p w14:paraId="7B6E5EF4" w14:textId="77777777" w:rsidR="0033334A" w:rsidRDefault="00072482">
      <w:pPr>
        <w:pStyle w:val="1"/>
        <w:spacing w:beforeLines="50" w:before="120" w:afterLines="50" w:after="120" w:line="360" w:lineRule="auto"/>
        <w:ind w:firstLineChars="200" w:firstLine="482"/>
        <w:rPr>
          <w:rFonts w:ascii="Times New Roman" w:eastAsia="宋体" w:hAnsi="Times New Roman" w:cs="Times New Roman"/>
          <w:sz w:val="24"/>
          <w:szCs w:val="16"/>
        </w:rPr>
      </w:pPr>
      <w:r>
        <w:rPr>
          <w:rFonts w:ascii="Times New Roman" w:eastAsia="宋体" w:hAnsi="Times New Roman" w:cs="Times New Roman" w:hint="eastAsia"/>
          <w:sz w:val="24"/>
          <w:szCs w:val="16"/>
        </w:rPr>
        <w:t>III.</w:t>
      </w:r>
      <w:r>
        <w:rPr>
          <w:rFonts w:ascii="Times New Roman" w:hAnsi="Times New Roman" w:cs="Times New Roman"/>
          <w:sz w:val="24"/>
        </w:rPr>
        <w:t xml:space="preserve"> Changes in Share Structure of the Company After the Repurchase and Cancellation of Restricted Shares</w:t>
      </w:r>
    </w:p>
    <w:p w14:paraId="543DAFCC" w14:textId="77777777" w:rsidR="0033334A" w:rsidRDefault="00072482">
      <w:pPr>
        <w:spacing w:beforeLines="50" w:before="120" w:afterLines="50" w:after="120" w:line="360" w:lineRule="auto"/>
        <w:ind w:firstLineChars="200" w:firstLine="480"/>
        <w:rPr>
          <w:sz w:val="24"/>
        </w:rPr>
      </w:pPr>
      <w:r>
        <w:rPr>
          <w:sz w:val="24"/>
        </w:rPr>
        <w:t>After the repurchase and cancellation of restricted shares, the changes in the Company’s share capital structure are as follows:</w:t>
      </w:r>
    </w:p>
    <w:p w14:paraId="5D8E1A5F" w14:textId="77777777" w:rsidR="0033334A" w:rsidRDefault="00072482">
      <w:pPr>
        <w:snapToGrid w:val="0"/>
        <w:spacing w:beforeLines="50" w:before="120" w:afterLines="50" w:after="120"/>
        <w:ind w:firstLineChars="200" w:firstLine="420"/>
        <w:jc w:val="right"/>
        <w:rPr>
          <w:szCs w:val="21"/>
        </w:rPr>
      </w:pPr>
      <w:r>
        <w:t>Unit: Share</w:t>
      </w:r>
    </w:p>
    <w:tbl>
      <w:tblPr>
        <w:tblW w:w="9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64"/>
        <w:gridCol w:w="2264"/>
        <w:gridCol w:w="2264"/>
        <w:gridCol w:w="2265"/>
      </w:tblGrid>
      <w:tr w:rsidR="0033334A" w14:paraId="3F6917BA" w14:textId="77777777">
        <w:trPr>
          <w:trHeight w:hRule="exact" w:val="454"/>
          <w:jc w:val="center"/>
        </w:trPr>
        <w:tc>
          <w:tcPr>
            <w:tcW w:w="2264" w:type="dxa"/>
            <w:shd w:val="clear" w:color="auto" w:fill="auto"/>
            <w:vAlign w:val="center"/>
          </w:tcPr>
          <w:p w14:paraId="2F96929E" w14:textId="77777777" w:rsidR="0033334A" w:rsidRDefault="00072482">
            <w:pPr>
              <w:autoSpaceDE w:val="0"/>
              <w:autoSpaceDN w:val="0"/>
              <w:adjustRightInd w:val="0"/>
              <w:snapToGrid w:val="0"/>
              <w:spacing w:beforeLines="50" w:before="120" w:afterLines="50" w:after="120"/>
              <w:jc w:val="center"/>
              <w:rPr>
                <w:b/>
                <w:kern w:val="0"/>
                <w:szCs w:val="21"/>
              </w:rPr>
            </w:pPr>
            <w:r>
              <w:rPr>
                <w:b/>
              </w:rPr>
              <w:t>Class</w:t>
            </w:r>
          </w:p>
        </w:tc>
        <w:tc>
          <w:tcPr>
            <w:tcW w:w="2264" w:type="dxa"/>
            <w:shd w:val="clear" w:color="auto" w:fill="auto"/>
            <w:vAlign w:val="center"/>
          </w:tcPr>
          <w:p w14:paraId="3E8384A6" w14:textId="77777777" w:rsidR="0033334A" w:rsidRDefault="00072482">
            <w:pPr>
              <w:autoSpaceDE w:val="0"/>
              <w:autoSpaceDN w:val="0"/>
              <w:adjustRightInd w:val="0"/>
              <w:snapToGrid w:val="0"/>
              <w:spacing w:beforeLines="50" w:before="120" w:afterLines="50" w:after="120"/>
              <w:jc w:val="center"/>
              <w:rPr>
                <w:b/>
                <w:kern w:val="0"/>
                <w:szCs w:val="21"/>
              </w:rPr>
            </w:pPr>
            <w:r>
              <w:rPr>
                <w:b/>
              </w:rPr>
              <w:t>Before Change</w:t>
            </w:r>
          </w:p>
        </w:tc>
        <w:tc>
          <w:tcPr>
            <w:tcW w:w="2264" w:type="dxa"/>
            <w:shd w:val="clear" w:color="auto" w:fill="auto"/>
            <w:vAlign w:val="center"/>
          </w:tcPr>
          <w:p w14:paraId="5684B88F" w14:textId="77777777" w:rsidR="0033334A" w:rsidRDefault="00072482">
            <w:pPr>
              <w:autoSpaceDE w:val="0"/>
              <w:autoSpaceDN w:val="0"/>
              <w:adjustRightInd w:val="0"/>
              <w:snapToGrid w:val="0"/>
              <w:spacing w:beforeLines="50" w:before="120" w:afterLines="50" w:after="120"/>
              <w:jc w:val="center"/>
              <w:rPr>
                <w:b/>
                <w:kern w:val="0"/>
                <w:szCs w:val="21"/>
              </w:rPr>
            </w:pPr>
            <w:r>
              <w:rPr>
                <w:b/>
              </w:rPr>
              <w:t>Change</w:t>
            </w:r>
          </w:p>
        </w:tc>
        <w:tc>
          <w:tcPr>
            <w:tcW w:w="2265" w:type="dxa"/>
            <w:shd w:val="clear" w:color="auto" w:fill="auto"/>
            <w:vAlign w:val="center"/>
          </w:tcPr>
          <w:p w14:paraId="3CA92123" w14:textId="77777777" w:rsidR="0033334A" w:rsidRDefault="00072482">
            <w:pPr>
              <w:autoSpaceDE w:val="0"/>
              <w:autoSpaceDN w:val="0"/>
              <w:adjustRightInd w:val="0"/>
              <w:snapToGrid w:val="0"/>
              <w:spacing w:beforeLines="50" w:before="120" w:afterLines="50" w:after="120"/>
              <w:jc w:val="center"/>
              <w:rPr>
                <w:b/>
                <w:kern w:val="0"/>
                <w:szCs w:val="21"/>
              </w:rPr>
            </w:pPr>
            <w:r>
              <w:rPr>
                <w:b/>
              </w:rPr>
              <w:t>After Change</w:t>
            </w:r>
          </w:p>
        </w:tc>
      </w:tr>
      <w:tr w:rsidR="009F5E8E" w14:paraId="2592C5C1" w14:textId="77777777">
        <w:trPr>
          <w:trHeight w:hRule="exact" w:val="454"/>
          <w:jc w:val="center"/>
        </w:trPr>
        <w:tc>
          <w:tcPr>
            <w:tcW w:w="2264" w:type="dxa"/>
            <w:shd w:val="clear" w:color="auto" w:fill="auto"/>
            <w:vAlign w:val="center"/>
          </w:tcPr>
          <w:p w14:paraId="3DC01682" w14:textId="77777777" w:rsidR="009F5E8E" w:rsidRDefault="009F5E8E" w:rsidP="009F5E8E">
            <w:pPr>
              <w:autoSpaceDE w:val="0"/>
              <w:autoSpaceDN w:val="0"/>
              <w:adjustRightInd w:val="0"/>
              <w:snapToGrid w:val="0"/>
              <w:spacing w:beforeLines="50" w:before="120" w:afterLines="50" w:after="120"/>
              <w:jc w:val="center"/>
              <w:rPr>
                <w:bCs/>
                <w:kern w:val="0"/>
                <w:szCs w:val="21"/>
              </w:rPr>
            </w:pPr>
            <w:r>
              <w:t>Restricted Shares</w:t>
            </w:r>
          </w:p>
        </w:tc>
        <w:tc>
          <w:tcPr>
            <w:tcW w:w="2264" w:type="dxa"/>
            <w:shd w:val="clear" w:color="auto" w:fill="auto"/>
            <w:vAlign w:val="center"/>
          </w:tcPr>
          <w:p w14:paraId="0D2C4E33" w14:textId="73B5C785" w:rsidR="009F5E8E" w:rsidRDefault="009F5E8E"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15,193,360</w:t>
            </w:r>
          </w:p>
        </w:tc>
        <w:tc>
          <w:tcPr>
            <w:tcW w:w="2264" w:type="dxa"/>
            <w:shd w:val="clear" w:color="auto" w:fill="auto"/>
            <w:vAlign w:val="center"/>
          </w:tcPr>
          <w:p w14:paraId="77C0AD40" w14:textId="5F297F68" w:rsidR="009F5E8E" w:rsidRDefault="009F5E8E" w:rsidP="009F5E8E">
            <w:pPr>
              <w:autoSpaceDE w:val="0"/>
              <w:autoSpaceDN w:val="0"/>
              <w:adjustRightInd w:val="0"/>
              <w:snapToGrid w:val="0"/>
              <w:spacing w:beforeLines="50" w:before="120" w:afterLines="50" w:after="120"/>
              <w:jc w:val="center"/>
              <w:rPr>
                <w:bCs/>
                <w:kern w:val="0"/>
                <w:szCs w:val="21"/>
              </w:rPr>
            </w:pPr>
            <w:r>
              <w:rPr>
                <w:bCs/>
                <w:kern w:val="0"/>
                <w:szCs w:val="21"/>
              </w:rPr>
              <w:t>-3,174,980</w:t>
            </w:r>
          </w:p>
        </w:tc>
        <w:tc>
          <w:tcPr>
            <w:tcW w:w="2265" w:type="dxa"/>
            <w:shd w:val="clear" w:color="auto" w:fill="auto"/>
            <w:vAlign w:val="center"/>
          </w:tcPr>
          <w:p w14:paraId="35C36F54" w14:textId="4CAE9CDE" w:rsidR="009F5E8E" w:rsidRDefault="009F5E8E"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12,018,380</w:t>
            </w:r>
          </w:p>
        </w:tc>
      </w:tr>
      <w:tr w:rsidR="009F5E8E" w14:paraId="5D540CDF" w14:textId="77777777">
        <w:trPr>
          <w:trHeight w:hRule="exact" w:val="454"/>
          <w:jc w:val="center"/>
        </w:trPr>
        <w:tc>
          <w:tcPr>
            <w:tcW w:w="2264" w:type="dxa"/>
            <w:shd w:val="clear" w:color="auto" w:fill="auto"/>
            <w:vAlign w:val="center"/>
          </w:tcPr>
          <w:p w14:paraId="0AB94798" w14:textId="77777777" w:rsidR="009F5E8E" w:rsidRDefault="009F5E8E" w:rsidP="009F5E8E">
            <w:pPr>
              <w:autoSpaceDE w:val="0"/>
              <w:autoSpaceDN w:val="0"/>
              <w:adjustRightInd w:val="0"/>
              <w:snapToGrid w:val="0"/>
              <w:spacing w:beforeLines="50" w:before="120" w:afterLines="50" w:after="120"/>
              <w:jc w:val="center"/>
              <w:rPr>
                <w:bCs/>
                <w:kern w:val="0"/>
                <w:szCs w:val="21"/>
              </w:rPr>
            </w:pPr>
            <w:r>
              <w:t>Non-Restricted Shares</w:t>
            </w:r>
          </w:p>
        </w:tc>
        <w:tc>
          <w:tcPr>
            <w:tcW w:w="2264" w:type="dxa"/>
            <w:shd w:val="clear" w:color="auto" w:fill="auto"/>
            <w:vAlign w:val="center"/>
          </w:tcPr>
          <w:p w14:paraId="00FC5AD4" w14:textId="5584CFFC" w:rsidR="009F5E8E" w:rsidRDefault="009F5E8E"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1,884,078,917</w:t>
            </w:r>
          </w:p>
        </w:tc>
        <w:tc>
          <w:tcPr>
            <w:tcW w:w="2264" w:type="dxa"/>
            <w:shd w:val="clear" w:color="auto" w:fill="auto"/>
            <w:vAlign w:val="center"/>
          </w:tcPr>
          <w:p w14:paraId="6C352ADD" w14:textId="2727A6A0" w:rsidR="009F5E8E" w:rsidRDefault="009F5E8E" w:rsidP="009F5E8E">
            <w:pPr>
              <w:autoSpaceDE w:val="0"/>
              <w:autoSpaceDN w:val="0"/>
              <w:adjustRightInd w:val="0"/>
              <w:snapToGrid w:val="0"/>
              <w:spacing w:beforeLines="50" w:before="120" w:afterLines="50" w:after="120"/>
              <w:jc w:val="center"/>
              <w:rPr>
                <w:bCs/>
                <w:kern w:val="0"/>
                <w:szCs w:val="21"/>
              </w:rPr>
            </w:pPr>
            <w:r>
              <w:rPr>
                <w:bCs/>
                <w:kern w:val="0"/>
                <w:szCs w:val="21"/>
              </w:rPr>
              <w:t>-</w:t>
            </w:r>
          </w:p>
        </w:tc>
        <w:tc>
          <w:tcPr>
            <w:tcW w:w="2265" w:type="dxa"/>
            <w:shd w:val="clear" w:color="auto" w:fill="auto"/>
            <w:vAlign w:val="center"/>
          </w:tcPr>
          <w:p w14:paraId="4EBA54CD" w14:textId="48696262" w:rsidR="009F5E8E" w:rsidRDefault="009F5E8E"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1,884,078,917</w:t>
            </w:r>
          </w:p>
        </w:tc>
      </w:tr>
      <w:tr w:rsidR="009F5E8E" w14:paraId="4AE8D8BF" w14:textId="77777777">
        <w:trPr>
          <w:trHeight w:hRule="exact" w:val="454"/>
          <w:jc w:val="center"/>
        </w:trPr>
        <w:tc>
          <w:tcPr>
            <w:tcW w:w="2264" w:type="dxa"/>
            <w:shd w:val="clear" w:color="auto" w:fill="auto"/>
            <w:vAlign w:val="center"/>
          </w:tcPr>
          <w:p w14:paraId="7C7E9D07" w14:textId="77777777" w:rsidR="009F5E8E" w:rsidRDefault="009F5E8E" w:rsidP="009F5E8E">
            <w:pPr>
              <w:autoSpaceDE w:val="0"/>
              <w:autoSpaceDN w:val="0"/>
              <w:adjustRightInd w:val="0"/>
              <w:snapToGrid w:val="0"/>
              <w:spacing w:beforeLines="50" w:before="120" w:afterLines="50" w:after="120"/>
              <w:jc w:val="center"/>
              <w:rPr>
                <w:bCs/>
                <w:kern w:val="0"/>
                <w:szCs w:val="21"/>
              </w:rPr>
            </w:pPr>
            <w:r>
              <w:t>In Total</w:t>
            </w:r>
          </w:p>
        </w:tc>
        <w:tc>
          <w:tcPr>
            <w:tcW w:w="2264" w:type="dxa"/>
            <w:shd w:val="clear" w:color="auto" w:fill="auto"/>
            <w:vAlign w:val="center"/>
          </w:tcPr>
          <w:p w14:paraId="205B0377" w14:textId="4FA3A233" w:rsidR="009F5E8E" w:rsidRDefault="009F5E8E"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1,899,272,277</w:t>
            </w:r>
          </w:p>
        </w:tc>
        <w:tc>
          <w:tcPr>
            <w:tcW w:w="2264" w:type="dxa"/>
            <w:shd w:val="clear" w:color="auto" w:fill="auto"/>
            <w:vAlign w:val="center"/>
          </w:tcPr>
          <w:p w14:paraId="5EA0B1B0" w14:textId="2E8BD462" w:rsidR="009F5E8E" w:rsidRDefault="009F5E8E" w:rsidP="009F5E8E">
            <w:pPr>
              <w:autoSpaceDE w:val="0"/>
              <w:autoSpaceDN w:val="0"/>
              <w:adjustRightInd w:val="0"/>
              <w:snapToGrid w:val="0"/>
              <w:spacing w:beforeLines="50" w:before="120" w:afterLines="50" w:after="120"/>
              <w:jc w:val="center"/>
              <w:rPr>
                <w:bCs/>
                <w:kern w:val="0"/>
                <w:szCs w:val="21"/>
              </w:rPr>
            </w:pPr>
            <w:r>
              <w:rPr>
                <w:bCs/>
                <w:kern w:val="0"/>
                <w:szCs w:val="21"/>
              </w:rPr>
              <w:t>-3,174,980</w:t>
            </w:r>
          </w:p>
        </w:tc>
        <w:tc>
          <w:tcPr>
            <w:tcW w:w="2265" w:type="dxa"/>
            <w:shd w:val="clear" w:color="auto" w:fill="auto"/>
            <w:vAlign w:val="center"/>
          </w:tcPr>
          <w:p w14:paraId="55CD9563" w14:textId="7E269531" w:rsidR="009F5E8E" w:rsidRDefault="009F5E8E"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1,896,097,297</w:t>
            </w:r>
          </w:p>
        </w:tc>
      </w:tr>
    </w:tbl>
    <w:p w14:paraId="61CFF2CC" w14:textId="215363A8" w:rsidR="0033334A" w:rsidRDefault="00072482">
      <w:pPr>
        <w:snapToGrid w:val="0"/>
        <w:spacing w:beforeLines="50" w:before="120" w:afterLines="50" w:after="120"/>
        <w:ind w:firstLineChars="315" w:firstLine="567"/>
        <w:rPr>
          <w:b/>
          <w:sz w:val="24"/>
        </w:rPr>
      </w:pPr>
      <w:r>
        <w:rPr>
          <w:sz w:val="18"/>
        </w:rPr>
        <w:t xml:space="preserve">Note: The information regarding share capital before the change as shown above is based on the equity structure as of </w:t>
      </w:r>
      <w:r w:rsidR="009F5E8E">
        <w:rPr>
          <w:rFonts w:hint="eastAsia"/>
          <w:sz w:val="18"/>
        </w:rPr>
        <w:t>October</w:t>
      </w:r>
      <w:r w:rsidR="009F5E8E">
        <w:rPr>
          <w:sz w:val="18"/>
        </w:rPr>
        <w:t xml:space="preserve"> 2</w:t>
      </w:r>
      <w:r w:rsidR="007E264B">
        <w:rPr>
          <w:sz w:val="18"/>
        </w:rPr>
        <w:t>8</w:t>
      </w:r>
      <w:r>
        <w:rPr>
          <w:sz w:val="18"/>
        </w:rPr>
        <w:t>, 2025. As the Company’s convertible bonds are currently undergoing conversion, the registered capital of the Company after the change shall be the amount registered with the competent administration for industry and commerce.</w:t>
      </w:r>
    </w:p>
    <w:p w14:paraId="01A26D08" w14:textId="77777777" w:rsidR="0033334A" w:rsidRDefault="00072482">
      <w:pPr>
        <w:pStyle w:val="1"/>
        <w:spacing w:beforeLines="50" w:before="120" w:afterLines="50" w:after="120" w:line="360" w:lineRule="auto"/>
        <w:ind w:firstLineChars="200" w:firstLine="482"/>
        <w:rPr>
          <w:rFonts w:ascii="Times New Roman" w:eastAsia="宋体" w:hAnsi="Times New Roman" w:cs="Times New Roman"/>
          <w:sz w:val="24"/>
          <w:szCs w:val="16"/>
        </w:rPr>
      </w:pPr>
      <w:r>
        <w:rPr>
          <w:rFonts w:ascii="Times New Roman" w:eastAsia="宋体" w:hAnsi="Times New Roman" w:cs="Times New Roman" w:hint="eastAsia"/>
          <w:sz w:val="24"/>
          <w:szCs w:val="16"/>
        </w:rPr>
        <w:t>IV.</w:t>
      </w:r>
      <w:r>
        <w:rPr>
          <w:rFonts w:ascii="Times New Roman" w:hAnsi="Times New Roman" w:cs="Times New Roman"/>
          <w:sz w:val="24"/>
        </w:rPr>
        <w:t xml:space="preserve"> Changes in Shareholding Percentages of the Controlling Shareholder and Its Person Acting in Concert After the Repurchase and Cancellation of Restricted Shares</w:t>
      </w:r>
    </w:p>
    <w:p w14:paraId="4F3D751E" w14:textId="0B088EA7" w:rsidR="0033334A" w:rsidRDefault="00072482">
      <w:pPr>
        <w:spacing w:beforeLines="50" w:before="120" w:afterLines="50" w:after="120" w:line="360" w:lineRule="auto"/>
        <w:ind w:firstLineChars="200" w:firstLine="480"/>
        <w:rPr>
          <w:sz w:val="24"/>
        </w:rPr>
      </w:pPr>
      <w:r>
        <w:rPr>
          <w:sz w:val="24"/>
        </w:rPr>
        <w:t xml:space="preserve">Following the cancellation, the Company’s total share capital will be reduced from </w:t>
      </w:r>
      <w:r w:rsidR="009F5E8E" w:rsidRPr="009F5E8E">
        <w:rPr>
          <w:sz w:val="24"/>
        </w:rPr>
        <w:t>1,899,272,277</w:t>
      </w:r>
      <w:r>
        <w:rPr>
          <w:sz w:val="24"/>
        </w:rPr>
        <w:t xml:space="preserve"> shares</w:t>
      </w:r>
      <w:r>
        <w:rPr>
          <w:rFonts w:hint="eastAsia"/>
          <w:sz w:val="24"/>
        </w:rPr>
        <w:t xml:space="preserve"> </w:t>
      </w:r>
      <w:r>
        <w:rPr>
          <w:sz w:val="24"/>
        </w:rPr>
        <w:t>to</w:t>
      </w:r>
      <w:r w:rsidR="009F5E8E">
        <w:rPr>
          <w:sz w:val="24"/>
        </w:rPr>
        <w:t xml:space="preserve"> </w:t>
      </w:r>
      <w:r w:rsidR="009F5E8E" w:rsidRPr="009F5E8E">
        <w:rPr>
          <w:sz w:val="24"/>
        </w:rPr>
        <w:t>1,896,097,297</w:t>
      </w:r>
      <w:r w:rsidR="009F5E8E">
        <w:rPr>
          <w:sz w:val="24"/>
        </w:rPr>
        <w:t xml:space="preserve"> </w:t>
      </w:r>
      <w:r>
        <w:rPr>
          <w:sz w:val="24"/>
        </w:rPr>
        <w:t xml:space="preserve">shares. As the number of shares held by the controlling shareholder, Huayou Holding Group Co., Ltd. (“Huayou Holding”) and its person acting in concert, Mr. Chen Xuehua, remain unchanged, the decrease in the Company’s total share capital will cause their shareholding percentages to increase from </w:t>
      </w:r>
      <w:r w:rsidR="009F5E8E">
        <w:rPr>
          <w:sz w:val="24"/>
        </w:rPr>
        <w:t>20.60%</w:t>
      </w:r>
      <w:r>
        <w:rPr>
          <w:sz w:val="24"/>
        </w:rPr>
        <w:t xml:space="preserve"> to </w:t>
      </w:r>
      <w:r w:rsidR="009F5E8E">
        <w:rPr>
          <w:sz w:val="24"/>
        </w:rPr>
        <w:t>20.63%</w:t>
      </w:r>
      <w:r w:rsidR="009F5E8E">
        <w:rPr>
          <w:rFonts w:hint="eastAsia"/>
          <w:sz w:val="24"/>
        </w:rPr>
        <w:t>.</w:t>
      </w:r>
      <w:r>
        <w:rPr>
          <w:sz w:val="24"/>
        </w:rPr>
        <w:t xml:space="preserve"> The changes in shareholding percentages are as follows:</w:t>
      </w:r>
    </w:p>
    <w:p w14:paraId="03C2D5FF" w14:textId="77777777" w:rsidR="0033334A" w:rsidRDefault="00072482">
      <w:pPr>
        <w:snapToGrid w:val="0"/>
        <w:spacing w:beforeLines="50" w:before="120" w:afterLines="50" w:after="120"/>
        <w:ind w:firstLineChars="200" w:firstLine="420"/>
        <w:jc w:val="right"/>
        <w:rPr>
          <w:szCs w:val="21"/>
        </w:rPr>
      </w:pPr>
      <w:r>
        <w:t>Unit: Share, %</w:t>
      </w:r>
    </w:p>
    <w:tbl>
      <w:tblPr>
        <w:tblW w:w="91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1"/>
        <w:gridCol w:w="1653"/>
        <w:gridCol w:w="1695"/>
        <w:gridCol w:w="1746"/>
        <w:gridCol w:w="1889"/>
      </w:tblGrid>
      <w:tr w:rsidR="0033334A" w14:paraId="510550AA" w14:textId="77777777" w:rsidTr="00794C15">
        <w:trPr>
          <w:trHeight w:hRule="exact" w:val="875"/>
          <w:jc w:val="center"/>
        </w:trPr>
        <w:tc>
          <w:tcPr>
            <w:tcW w:w="2121" w:type="dxa"/>
            <w:shd w:val="clear" w:color="auto" w:fill="auto"/>
            <w:vAlign w:val="center"/>
          </w:tcPr>
          <w:p w14:paraId="64984B43" w14:textId="77777777" w:rsidR="0033334A" w:rsidRDefault="00072482">
            <w:pPr>
              <w:autoSpaceDE w:val="0"/>
              <w:autoSpaceDN w:val="0"/>
              <w:adjustRightInd w:val="0"/>
              <w:snapToGrid w:val="0"/>
              <w:spacing w:beforeLines="50" w:before="120" w:afterLines="50" w:after="120"/>
              <w:jc w:val="center"/>
              <w:rPr>
                <w:b/>
                <w:kern w:val="0"/>
                <w:szCs w:val="21"/>
              </w:rPr>
            </w:pPr>
            <w:r>
              <w:rPr>
                <w:b/>
              </w:rPr>
              <w:t>Name of Shareholder</w:t>
            </w:r>
          </w:p>
        </w:tc>
        <w:tc>
          <w:tcPr>
            <w:tcW w:w="1653" w:type="dxa"/>
            <w:shd w:val="clear" w:color="auto" w:fill="auto"/>
            <w:vAlign w:val="center"/>
          </w:tcPr>
          <w:p w14:paraId="418C28F3" w14:textId="77777777" w:rsidR="0033334A" w:rsidRDefault="00072482">
            <w:pPr>
              <w:autoSpaceDE w:val="0"/>
              <w:autoSpaceDN w:val="0"/>
              <w:adjustRightInd w:val="0"/>
              <w:snapToGrid w:val="0"/>
              <w:spacing w:beforeLines="50" w:before="120" w:afterLines="50" w:after="120"/>
              <w:jc w:val="center"/>
              <w:rPr>
                <w:b/>
                <w:kern w:val="0"/>
                <w:szCs w:val="21"/>
              </w:rPr>
            </w:pPr>
            <w:r>
              <w:rPr>
                <w:b/>
              </w:rPr>
              <w:t>Number of Shares Held Before Change</w:t>
            </w:r>
          </w:p>
        </w:tc>
        <w:tc>
          <w:tcPr>
            <w:tcW w:w="1695" w:type="dxa"/>
            <w:shd w:val="clear" w:color="auto" w:fill="auto"/>
            <w:vAlign w:val="center"/>
          </w:tcPr>
          <w:p w14:paraId="390BC36D" w14:textId="77777777" w:rsidR="0033334A" w:rsidRDefault="00072482">
            <w:pPr>
              <w:autoSpaceDE w:val="0"/>
              <w:autoSpaceDN w:val="0"/>
              <w:adjustRightInd w:val="0"/>
              <w:snapToGrid w:val="0"/>
              <w:spacing w:beforeLines="50" w:before="120" w:afterLines="50" w:after="120"/>
              <w:jc w:val="center"/>
              <w:rPr>
                <w:b/>
                <w:kern w:val="0"/>
                <w:szCs w:val="21"/>
              </w:rPr>
            </w:pPr>
            <w:r>
              <w:rPr>
                <w:b/>
              </w:rPr>
              <w:t>Shareholding Percentage Before Change</w:t>
            </w:r>
          </w:p>
        </w:tc>
        <w:tc>
          <w:tcPr>
            <w:tcW w:w="1746" w:type="dxa"/>
            <w:shd w:val="clear" w:color="auto" w:fill="auto"/>
            <w:vAlign w:val="center"/>
          </w:tcPr>
          <w:p w14:paraId="1354FB93" w14:textId="77777777" w:rsidR="0033334A" w:rsidRDefault="00072482">
            <w:pPr>
              <w:autoSpaceDE w:val="0"/>
              <w:autoSpaceDN w:val="0"/>
              <w:adjustRightInd w:val="0"/>
              <w:snapToGrid w:val="0"/>
              <w:spacing w:beforeLines="50" w:before="120" w:afterLines="50" w:after="120"/>
              <w:jc w:val="center"/>
              <w:rPr>
                <w:b/>
                <w:kern w:val="0"/>
                <w:szCs w:val="21"/>
              </w:rPr>
            </w:pPr>
            <w:r>
              <w:rPr>
                <w:b/>
              </w:rPr>
              <w:t>Number of Shares Held After Change</w:t>
            </w:r>
          </w:p>
        </w:tc>
        <w:tc>
          <w:tcPr>
            <w:tcW w:w="1889" w:type="dxa"/>
            <w:shd w:val="clear" w:color="auto" w:fill="auto"/>
            <w:vAlign w:val="center"/>
          </w:tcPr>
          <w:p w14:paraId="3E43FB1D" w14:textId="77777777" w:rsidR="0033334A" w:rsidRDefault="00072482">
            <w:pPr>
              <w:autoSpaceDE w:val="0"/>
              <w:autoSpaceDN w:val="0"/>
              <w:adjustRightInd w:val="0"/>
              <w:snapToGrid w:val="0"/>
              <w:spacing w:beforeLines="50" w:before="120" w:afterLines="50" w:after="120"/>
              <w:jc w:val="center"/>
              <w:rPr>
                <w:b/>
                <w:kern w:val="0"/>
                <w:szCs w:val="21"/>
              </w:rPr>
            </w:pPr>
            <w:r>
              <w:rPr>
                <w:b/>
              </w:rPr>
              <w:t>Shareholding Percentage After Change</w:t>
            </w:r>
          </w:p>
        </w:tc>
      </w:tr>
      <w:tr w:rsidR="009F5E8E" w14:paraId="54443F2B" w14:textId="77777777" w:rsidTr="00794C15">
        <w:trPr>
          <w:trHeight w:hRule="exact" w:val="467"/>
          <w:jc w:val="center"/>
        </w:trPr>
        <w:tc>
          <w:tcPr>
            <w:tcW w:w="2121" w:type="dxa"/>
            <w:shd w:val="clear" w:color="auto" w:fill="auto"/>
            <w:vAlign w:val="center"/>
          </w:tcPr>
          <w:p w14:paraId="53F46E63" w14:textId="77777777" w:rsidR="009F5E8E" w:rsidRDefault="009F5E8E" w:rsidP="00794C15">
            <w:pPr>
              <w:autoSpaceDE w:val="0"/>
              <w:autoSpaceDN w:val="0"/>
              <w:adjustRightInd w:val="0"/>
              <w:snapToGrid w:val="0"/>
              <w:spacing w:beforeLines="50" w:before="120" w:afterLines="50" w:after="120"/>
              <w:jc w:val="center"/>
              <w:rPr>
                <w:bCs/>
                <w:kern w:val="0"/>
                <w:szCs w:val="21"/>
              </w:rPr>
            </w:pPr>
            <w:r>
              <w:t>Huayou Holding</w:t>
            </w:r>
          </w:p>
        </w:tc>
        <w:tc>
          <w:tcPr>
            <w:tcW w:w="1653" w:type="dxa"/>
            <w:shd w:val="clear" w:color="auto" w:fill="auto"/>
            <w:vAlign w:val="center"/>
          </w:tcPr>
          <w:p w14:paraId="633BA3A1" w14:textId="4350F55A" w:rsidR="009F5E8E" w:rsidRDefault="009F5E8E"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308,664,701</w:t>
            </w:r>
          </w:p>
        </w:tc>
        <w:tc>
          <w:tcPr>
            <w:tcW w:w="1695" w:type="dxa"/>
            <w:shd w:val="clear" w:color="auto" w:fill="auto"/>
            <w:vAlign w:val="center"/>
          </w:tcPr>
          <w:p w14:paraId="02014543" w14:textId="0A302B00" w:rsidR="009F5E8E" w:rsidRDefault="00794C15" w:rsidP="009F5E8E">
            <w:pPr>
              <w:autoSpaceDE w:val="0"/>
              <w:autoSpaceDN w:val="0"/>
              <w:adjustRightInd w:val="0"/>
              <w:snapToGrid w:val="0"/>
              <w:spacing w:beforeLines="50" w:before="120" w:afterLines="50" w:after="120"/>
              <w:jc w:val="center"/>
              <w:rPr>
                <w:bCs/>
                <w:kern w:val="0"/>
                <w:szCs w:val="21"/>
              </w:rPr>
            </w:pPr>
            <w:r w:rsidRPr="00794C15">
              <w:rPr>
                <w:bCs/>
                <w:kern w:val="0"/>
                <w:szCs w:val="21"/>
              </w:rPr>
              <w:t>16.25%</w:t>
            </w:r>
          </w:p>
        </w:tc>
        <w:tc>
          <w:tcPr>
            <w:tcW w:w="1746" w:type="dxa"/>
            <w:shd w:val="clear" w:color="auto" w:fill="auto"/>
            <w:vAlign w:val="center"/>
          </w:tcPr>
          <w:p w14:paraId="05CAD2CA" w14:textId="58AD69D9" w:rsidR="009F5E8E" w:rsidRDefault="009F5E8E"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308,664,701</w:t>
            </w:r>
          </w:p>
        </w:tc>
        <w:tc>
          <w:tcPr>
            <w:tcW w:w="1889" w:type="dxa"/>
            <w:shd w:val="clear" w:color="auto" w:fill="auto"/>
            <w:vAlign w:val="center"/>
          </w:tcPr>
          <w:p w14:paraId="510552BF" w14:textId="44D68C63" w:rsidR="009F5E8E" w:rsidRDefault="00794C15" w:rsidP="009F5E8E">
            <w:pPr>
              <w:autoSpaceDE w:val="0"/>
              <w:autoSpaceDN w:val="0"/>
              <w:adjustRightInd w:val="0"/>
              <w:snapToGrid w:val="0"/>
              <w:spacing w:beforeLines="50" w:before="120" w:afterLines="50" w:after="120"/>
              <w:jc w:val="center"/>
              <w:rPr>
                <w:bCs/>
                <w:kern w:val="0"/>
                <w:szCs w:val="21"/>
              </w:rPr>
            </w:pPr>
            <w:r>
              <w:rPr>
                <w:rFonts w:eastAsia="等线"/>
                <w:color w:val="000000"/>
                <w:szCs w:val="21"/>
              </w:rPr>
              <w:t>16.28%</w:t>
            </w:r>
          </w:p>
        </w:tc>
      </w:tr>
      <w:tr w:rsidR="009F5E8E" w14:paraId="41553F76" w14:textId="77777777" w:rsidTr="00794C15">
        <w:trPr>
          <w:trHeight w:hRule="exact" w:val="744"/>
          <w:jc w:val="center"/>
        </w:trPr>
        <w:tc>
          <w:tcPr>
            <w:tcW w:w="2121" w:type="dxa"/>
            <w:shd w:val="clear" w:color="auto" w:fill="auto"/>
            <w:vAlign w:val="center"/>
          </w:tcPr>
          <w:p w14:paraId="593844B6" w14:textId="08432292" w:rsidR="009F5E8E" w:rsidRDefault="009F5E8E" w:rsidP="00794C15">
            <w:pPr>
              <w:autoSpaceDE w:val="0"/>
              <w:autoSpaceDN w:val="0"/>
              <w:adjustRightInd w:val="0"/>
              <w:snapToGrid w:val="0"/>
              <w:spacing w:beforeLines="50" w:before="120" w:afterLines="50" w:after="120"/>
              <w:jc w:val="center"/>
              <w:rPr>
                <w:bCs/>
                <w:kern w:val="0"/>
                <w:szCs w:val="21"/>
              </w:rPr>
            </w:pPr>
            <w:r>
              <w:lastRenderedPageBreak/>
              <w:t>Chen Xuehua, Person Acting in Concert</w:t>
            </w:r>
          </w:p>
        </w:tc>
        <w:tc>
          <w:tcPr>
            <w:tcW w:w="1653" w:type="dxa"/>
            <w:shd w:val="clear" w:color="auto" w:fill="auto"/>
            <w:vAlign w:val="center"/>
          </w:tcPr>
          <w:p w14:paraId="5EB0F021" w14:textId="4871EF90" w:rsidR="009F5E8E" w:rsidRDefault="009F5E8E"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82,505,146</w:t>
            </w:r>
          </w:p>
        </w:tc>
        <w:tc>
          <w:tcPr>
            <w:tcW w:w="1695" w:type="dxa"/>
            <w:shd w:val="clear" w:color="auto" w:fill="auto"/>
            <w:vAlign w:val="center"/>
          </w:tcPr>
          <w:p w14:paraId="44F8FF0D" w14:textId="74EE48A8" w:rsidR="009F5E8E" w:rsidRDefault="00794C15"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4.34%</w:t>
            </w:r>
          </w:p>
        </w:tc>
        <w:tc>
          <w:tcPr>
            <w:tcW w:w="1746" w:type="dxa"/>
            <w:shd w:val="clear" w:color="auto" w:fill="auto"/>
            <w:vAlign w:val="center"/>
          </w:tcPr>
          <w:p w14:paraId="1F5D6021" w14:textId="3C2E18FA" w:rsidR="009F5E8E" w:rsidRDefault="009F5E8E"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82,505,146</w:t>
            </w:r>
          </w:p>
        </w:tc>
        <w:tc>
          <w:tcPr>
            <w:tcW w:w="1889" w:type="dxa"/>
            <w:shd w:val="clear" w:color="auto" w:fill="auto"/>
            <w:vAlign w:val="center"/>
          </w:tcPr>
          <w:p w14:paraId="5C3D93A0" w14:textId="345BE7C0" w:rsidR="009F5E8E" w:rsidRDefault="00794C15" w:rsidP="009F5E8E">
            <w:pPr>
              <w:autoSpaceDE w:val="0"/>
              <w:autoSpaceDN w:val="0"/>
              <w:adjustRightInd w:val="0"/>
              <w:snapToGrid w:val="0"/>
              <w:spacing w:beforeLines="50" w:before="120" w:afterLines="50" w:after="120"/>
              <w:jc w:val="center"/>
              <w:rPr>
                <w:bCs/>
                <w:kern w:val="0"/>
                <w:szCs w:val="21"/>
              </w:rPr>
            </w:pPr>
            <w:r w:rsidRPr="002D1577">
              <w:rPr>
                <w:bCs/>
                <w:kern w:val="0"/>
                <w:szCs w:val="21"/>
              </w:rPr>
              <w:t>4.35%</w:t>
            </w:r>
          </w:p>
        </w:tc>
      </w:tr>
      <w:tr w:rsidR="009F5E8E" w14:paraId="1F8AD3D7" w14:textId="77777777" w:rsidTr="00794C15">
        <w:trPr>
          <w:trHeight w:hRule="exact" w:val="587"/>
          <w:jc w:val="center"/>
        </w:trPr>
        <w:tc>
          <w:tcPr>
            <w:tcW w:w="2121" w:type="dxa"/>
            <w:shd w:val="clear" w:color="auto" w:fill="auto"/>
            <w:vAlign w:val="center"/>
          </w:tcPr>
          <w:p w14:paraId="7E705FA4" w14:textId="77777777" w:rsidR="009F5E8E" w:rsidRDefault="009F5E8E" w:rsidP="00794C15">
            <w:pPr>
              <w:autoSpaceDE w:val="0"/>
              <w:autoSpaceDN w:val="0"/>
              <w:adjustRightInd w:val="0"/>
              <w:snapToGrid w:val="0"/>
              <w:spacing w:beforeLines="50" w:before="120" w:afterLines="50" w:after="120"/>
              <w:jc w:val="center"/>
              <w:rPr>
                <w:bCs/>
                <w:kern w:val="0"/>
                <w:szCs w:val="21"/>
              </w:rPr>
            </w:pPr>
            <w:r>
              <w:t>In Total</w:t>
            </w:r>
          </w:p>
        </w:tc>
        <w:tc>
          <w:tcPr>
            <w:tcW w:w="1653" w:type="dxa"/>
            <w:shd w:val="clear" w:color="auto" w:fill="auto"/>
            <w:vAlign w:val="center"/>
          </w:tcPr>
          <w:p w14:paraId="3812053F" w14:textId="624791AF" w:rsidR="009F5E8E" w:rsidRDefault="009F5E8E"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391,169,847</w:t>
            </w:r>
          </w:p>
        </w:tc>
        <w:tc>
          <w:tcPr>
            <w:tcW w:w="1695" w:type="dxa"/>
            <w:shd w:val="clear" w:color="auto" w:fill="auto"/>
            <w:vAlign w:val="center"/>
          </w:tcPr>
          <w:p w14:paraId="266026AB" w14:textId="74F6CD53" w:rsidR="009F5E8E" w:rsidRDefault="009F5E8E"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20.60%</w:t>
            </w:r>
          </w:p>
        </w:tc>
        <w:tc>
          <w:tcPr>
            <w:tcW w:w="1746" w:type="dxa"/>
            <w:shd w:val="clear" w:color="auto" w:fill="auto"/>
            <w:vAlign w:val="center"/>
          </w:tcPr>
          <w:p w14:paraId="51B82D5C" w14:textId="340D485D" w:rsidR="009F5E8E" w:rsidRDefault="009F5E8E" w:rsidP="009F5E8E">
            <w:pPr>
              <w:autoSpaceDE w:val="0"/>
              <w:autoSpaceDN w:val="0"/>
              <w:adjustRightInd w:val="0"/>
              <w:snapToGrid w:val="0"/>
              <w:spacing w:beforeLines="50" w:before="120" w:afterLines="50" w:after="120"/>
              <w:jc w:val="center"/>
              <w:rPr>
                <w:bCs/>
                <w:kern w:val="0"/>
                <w:szCs w:val="21"/>
              </w:rPr>
            </w:pPr>
            <w:r w:rsidRPr="00B04C15">
              <w:rPr>
                <w:bCs/>
                <w:kern w:val="0"/>
                <w:szCs w:val="21"/>
              </w:rPr>
              <w:t>391,169,847</w:t>
            </w:r>
          </w:p>
        </w:tc>
        <w:tc>
          <w:tcPr>
            <w:tcW w:w="1889" w:type="dxa"/>
            <w:shd w:val="clear" w:color="auto" w:fill="auto"/>
            <w:vAlign w:val="center"/>
          </w:tcPr>
          <w:p w14:paraId="21B107F4" w14:textId="51628346" w:rsidR="009F5E8E" w:rsidRDefault="009F5E8E" w:rsidP="009F5E8E">
            <w:pPr>
              <w:autoSpaceDE w:val="0"/>
              <w:autoSpaceDN w:val="0"/>
              <w:adjustRightInd w:val="0"/>
              <w:snapToGrid w:val="0"/>
              <w:spacing w:beforeLines="50" w:before="120" w:afterLines="50" w:after="120"/>
              <w:jc w:val="center"/>
              <w:rPr>
                <w:bCs/>
                <w:kern w:val="0"/>
                <w:szCs w:val="21"/>
              </w:rPr>
            </w:pPr>
            <w:r>
              <w:rPr>
                <w:rFonts w:eastAsia="等线"/>
                <w:color w:val="000000"/>
                <w:szCs w:val="21"/>
              </w:rPr>
              <w:t>20.63%</w:t>
            </w:r>
          </w:p>
        </w:tc>
      </w:tr>
    </w:tbl>
    <w:p w14:paraId="2BED9B6D" w14:textId="77777777" w:rsidR="0033334A" w:rsidRDefault="00072482">
      <w:pPr>
        <w:pStyle w:val="1"/>
        <w:spacing w:beforeLines="50" w:before="120" w:afterLines="50" w:after="120" w:line="360" w:lineRule="auto"/>
        <w:ind w:firstLineChars="200" w:firstLine="482"/>
        <w:rPr>
          <w:rFonts w:ascii="Times New Roman" w:eastAsia="宋体" w:hAnsi="Times New Roman" w:cs="Times New Roman"/>
          <w:sz w:val="24"/>
          <w:szCs w:val="16"/>
        </w:rPr>
      </w:pPr>
      <w:r>
        <w:rPr>
          <w:rFonts w:ascii="Times New Roman" w:eastAsia="宋体" w:hAnsi="Times New Roman" w:cs="Times New Roman" w:hint="eastAsia"/>
          <w:sz w:val="24"/>
          <w:szCs w:val="16"/>
        </w:rPr>
        <w:t>V.</w:t>
      </w:r>
      <w:r>
        <w:rPr>
          <w:rFonts w:ascii="Times New Roman" w:hAnsi="Times New Roman" w:cs="Times New Roman"/>
          <w:sz w:val="24"/>
        </w:rPr>
        <w:t xml:space="preserve"> Representations and Undertakings</w:t>
      </w:r>
    </w:p>
    <w:p w14:paraId="5570608A" w14:textId="77777777" w:rsidR="0033334A" w:rsidRDefault="00072482">
      <w:pPr>
        <w:spacing w:beforeLines="50" w:before="120" w:afterLines="50" w:after="120" w:line="360" w:lineRule="auto"/>
        <w:ind w:firstLineChars="200" w:firstLine="480"/>
        <w:rPr>
          <w:sz w:val="24"/>
        </w:rPr>
      </w:pPr>
      <w:r>
        <w:rPr>
          <w:sz w:val="24"/>
        </w:rPr>
        <w:t>The Board of Directors of the Company represents that the decision-making procedures and information disclosure involved in the repurchase and cancellation of restricted shares are in line with laws and regulations, the Measures, and the arrangements under the share incentive plans and the agreement on the grant of restricted shares of the Company, and there is no harm to the legitimate rights and interests of the participants and the interests of creditors.</w:t>
      </w:r>
    </w:p>
    <w:p w14:paraId="533473F6" w14:textId="77777777" w:rsidR="0033334A" w:rsidRDefault="00072482">
      <w:pPr>
        <w:spacing w:beforeLines="50" w:before="120" w:afterLines="50" w:after="120" w:line="360" w:lineRule="auto"/>
        <w:ind w:firstLineChars="200" w:firstLine="480"/>
        <w:rPr>
          <w:sz w:val="24"/>
        </w:rPr>
      </w:pPr>
      <w:r>
        <w:rPr>
          <w:sz w:val="24"/>
        </w:rPr>
        <w:t>The Company undertakes that it has verified and warranted the truthfulness, accuracy and completeness of the object, number of shares and cancellation date of the restricted shares to be repurchased and canceled, and has fully informed the relevant participants of the repurchase and cancellation, and the relevant participants have not expressed objections to the repurchase and cancellation. If there is any dispute with the relevant participant</w:t>
      </w:r>
      <w:r>
        <w:rPr>
          <w:rFonts w:hint="eastAsia"/>
          <w:sz w:val="24"/>
        </w:rPr>
        <w:t>s</w:t>
      </w:r>
      <w:r>
        <w:rPr>
          <w:sz w:val="24"/>
        </w:rPr>
        <w:t xml:space="preserve"> arising from the repurchase and cancellation, the Company will assume the relevant legal liability arising therefrom.</w:t>
      </w:r>
    </w:p>
    <w:p w14:paraId="1E517870" w14:textId="77777777" w:rsidR="0033334A" w:rsidRDefault="00072482">
      <w:pPr>
        <w:pStyle w:val="1"/>
        <w:spacing w:beforeLines="50" w:before="120" w:afterLines="50" w:after="120" w:line="360" w:lineRule="auto"/>
        <w:ind w:firstLineChars="200" w:firstLine="482"/>
        <w:rPr>
          <w:rFonts w:ascii="Times New Roman" w:eastAsia="宋体" w:hAnsi="Times New Roman" w:cs="Times New Roman"/>
          <w:sz w:val="24"/>
          <w:szCs w:val="16"/>
        </w:rPr>
      </w:pPr>
      <w:bookmarkStart w:id="3" w:name="_Hlk155535084"/>
      <w:r>
        <w:rPr>
          <w:rFonts w:ascii="Times New Roman" w:eastAsia="宋体" w:hAnsi="Times New Roman" w:cs="Times New Roman" w:hint="eastAsia"/>
          <w:sz w:val="24"/>
          <w:szCs w:val="16"/>
        </w:rPr>
        <w:t>VI.</w:t>
      </w:r>
      <w:r>
        <w:rPr>
          <w:rFonts w:ascii="Times New Roman" w:hAnsi="Times New Roman" w:cs="Times New Roman"/>
          <w:sz w:val="24"/>
        </w:rPr>
        <w:t xml:space="preserve"> Concluding Legal Opinions</w:t>
      </w:r>
    </w:p>
    <w:bookmarkEnd w:id="3"/>
    <w:p w14:paraId="368632E2" w14:textId="77777777" w:rsidR="0033334A" w:rsidRDefault="00072482">
      <w:pPr>
        <w:spacing w:beforeLines="50" w:before="120" w:afterLines="50" w:after="120" w:line="360" w:lineRule="auto"/>
        <w:ind w:firstLineChars="200" w:firstLine="480"/>
        <w:rPr>
          <w:sz w:val="24"/>
        </w:rPr>
      </w:pPr>
      <w:r>
        <w:rPr>
          <w:sz w:val="24"/>
        </w:rPr>
        <w:t>Lawyers of Grandall Law Firm (Hangzhou) believe that, as of the date of the Legal Opinion, the reasons for repurchase and cancellation of certain restricted shares, the number and price of such shares, the source of funds and other relevant matters are in line with the Measures and other applicable laws, administrative regulations, normative documents, and the provisions of the Incentive Plans.</w:t>
      </w:r>
    </w:p>
    <w:p w14:paraId="555AEBE8" w14:textId="77777777" w:rsidR="0033334A" w:rsidRDefault="0033334A">
      <w:pPr>
        <w:spacing w:beforeLines="50" w:before="120" w:afterLines="50" w:after="120" w:line="360" w:lineRule="auto"/>
        <w:ind w:firstLineChars="200" w:firstLine="480"/>
        <w:rPr>
          <w:sz w:val="24"/>
        </w:rPr>
      </w:pPr>
    </w:p>
    <w:p w14:paraId="1C18FB06" w14:textId="77777777" w:rsidR="0033334A" w:rsidRDefault="00072482">
      <w:pPr>
        <w:spacing w:beforeLines="50" w:before="120" w:afterLines="50" w:after="120" w:line="360" w:lineRule="auto"/>
        <w:ind w:firstLineChars="200" w:firstLine="480"/>
        <w:rPr>
          <w:sz w:val="24"/>
        </w:rPr>
      </w:pPr>
      <w:r>
        <w:rPr>
          <w:sz w:val="24"/>
        </w:rPr>
        <w:t>This announcement is hereby made.</w:t>
      </w:r>
    </w:p>
    <w:p w14:paraId="0562E38F" w14:textId="77777777" w:rsidR="0033334A" w:rsidRDefault="0033334A">
      <w:pPr>
        <w:tabs>
          <w:tab w:val="left" w:pos="3100"/>
          <w:tab w:val="left" w:pos="6480"/>
        </w:tabs>
        <w:autoSpaceDE w:val="0"/>
        <w:autoSpaceDN w:val="0"/>
        <w:adjustRightInd w:val="0"/>
        <w:spacing w:beforeLines="50" w:before="120" w:afterLines="50" w:after="120" w:line="360" w:lineRule="auto"/>
        <w:jc w:val="left"/>
        <w:rPr>
          <w:kern w:val="0"/>
          <w:sz w:val="24"/>
        </w:rPr>
      </w:pPr>
    </w:p>
    <w:p w14:paraId="3DC09847" w14:textId="77777777" w:rsidR="0033334A" w:rsidRDefault="00072482">
      <w:pPr>
        <w:tabs>
          <w:tab w:val="left" w:pos="3100"/>
          <w:tab w:val="left" w:pos="6480"/>
        </w:tabs>
        <w:autoSpaceDE w:val="0"/>
        <w:autoSpaceDN w:val="0"/>
        <w:adjustRightInd w:val="0"/>
        <w:spacing w:beforeLines="50" w:before="120" w:afterLines="50" w:after="120" w:line="360" w:lineRule="auto"/>
        <w:ind w:firstLineChars="200" w:firstLine="480"/>
        <w:jc w:val="right"/>
        <w:rPr>
          <w:kern w:val="0"/>
          <w:sz w:val="24"/>
        </w:rPr>
      </w:pPr>
      <w:r>
        <w:rPr>
          <w:sz w:val="24"/>
        </w:rPr>
        <w:t>Board of Directors of Zhejiang Huayou Cobalt Co., Ltd.</w:t>
      </w:r>
    </w:p>
    <w:p w14:paraId="3943BD53" w14:textId="5CEC80B6" w:rsidR="0033334A" w:rsidRPr="00072482" w:rsidRDefault="009F5E8E" w:rsidP="00072482">
      <w:pPr>
        <w:tabs>
          <w:tab w:val="left" w:pos="3100"/>
          <w:tab w:val="left" w:pos="6480"/>
        </w:tabs>
        <w:autoSpaceDE w:val="0"/>
        <w:autoSpaceDN w:val="0"/>
        <w:adjustRightInd w:val="0"/>
        <w:spacing w:beforeLines="50" w:before="120" w:afterLines="50" w:after="120" w:line="360" w:lineRule="auto"/>
        <w:ind w:firstLineChars="200" w:firstLine="480"/>
        <w:jc w:val="right"/>
        <w:rPr>
          <w:sz w:val="24"/>
          <w:szCs w:val="20"/>
        </w:rPr>
      </w:pPr>
      <w:r>
        <w:rPr>
          <w:sz w:val="24"/>
        </w:rPr>
        <w:t>October</w:t>
      </w:r>
      <w:r w:rsidR="00072482">
        <w:rPr>
          <w:sz w:val="24"/>
        </w:rPr>
        <w:t xml:space="preserve"> </w:t>
      </w:r>
      <w:r w:rsidR="00401C35">
        <w:rPr>
          <w:sz w:val="24"/>
        </w:rPr>
        <w:t>29</w:t>
      </w:r>
      <w:r>
        <w:rPr>
          <w:sz w:val="24"/>
        </w:rPr>
        <w:t>,</w:t>
      </w:r>
      <w:r w:rsidR="00072482">
        <w:rPr>
          <w:sz w:val="24"/>
        </w:rPr>
        <w:t xml:space="preserve"> 2025</w:t>
      </w:r>
    </w:p>
    <w:sectPr w:rsidR="0033334A" w:rsidRPr="00072482">
      <w:headerReference w:type="even" r:id="rId7"/>
      <w:headerReference w:type="default" r:id="rId8"/>
      <w:footerReference w:type="even" r:id="rId9"/>
      <w:footerReference w:type="default" r:id="rId10"/>
      <w:headerReference w:type="first" r:id="rId11"/>
      <w:footerReference w:type="first" r:id="rId12"/>
      <w:pgSz w:w="12240" w:h="15840"/>
      <w:pgMar w:top="96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DF450" w14:textId="77777777" w:rsidR="0073711A" w:rsidRDefault="00072482">
      <w:r>
        <w:separator/>
      </w:r>
    </w:p>
  </w:endnote>
  <w:endnote w:type="continuationSeparator" w:id="0">
    <w:p w14:paraId="6B54C291" w14:textId="77777777" w:rsidR="0073711A" w:rsidRDefault="0007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FAB4" w14:textId="77777777" w:rsidR="0033334A" w:rsidRDefault="0033334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326B" w14:textId="77777777" w:rsidR="0033334A" w:rsidRDefault="00072482">
    <w:pPr>
      <w:pStyle w:val="a3"/>
      <w:jc w:val="center"/>
    </w:pPr>
    <w:r>
      <w:fldChar w:fldCharType="begin"/>
    </w:r>
    <w:r>
      <w:instrText>PAGE   \* MERGEFORMAT</w:instrText>
    </w:r>
    <w:r>
      <w:fldChar w:fldCharType="separate"/>
    </w:r>
    <w:r>
      <w:t>2</w:t>
    </w:r>
    <w:r>
      <w:fldChar w:fldCharType="end"/>
    </w:r>
  </w:p>
  <w:p w14:paraId="6EB913C0" w14:textId="77777777" w:rsidR="0033334A" w:rsidRDefault="0033334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FE1E" w14:textId="77777777" w:rsidR="0033334A" w:rsidRDefault="0033334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EBF2" w14:textId="77777777" w:rsidR="0073711A" w:rsidRDefault="00072482">
      <w:r>
        <w:separator/>
      </w:r>
    </w:p>
  </w:footnote>
  <w:footnote w:type="continuationSeparator" w:id="0">
    <w:p w14:paraId="4819E1C0" w14:textId="77777777" w:rsidR="0073711A" w:rsidRDefault="00072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368F" w14:textId="77777777" w:rsidR="0033334A" w:rsidRDefault="003333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8F80" w14:textId="77777777" w:rsidR="0033334A" w:rsidRDefault="00072482">
    <w:pPr>
      <w:pStyle w:val="a5"/>
      <w:pBdr>
        <w:bottom w:val="single" w:sz="4" w:space="1" w:color="auto"/>
      </w:pBdr>
      <w:jc w:val="both"/>
      <w:rPr>
        <w:i/>
        <w:iCs/>
        <w:kern w:val="0"/>
        <w:szCs w:val="13"/>
      </w:rPr>
    </w:pPr>
    <w:r>
      <w:rPr>
        <w:i/>
        <w:noProof/>
        <w:sz w:val="22"/>
      </w:rPr>
      <w:drawing>
        <wp:inline distT="0" distB="0" distL="0" distR="0" wp14:anchorId="21648184" wp14:editId="27C9629F">
          <wp:extent cx="1257300" cy="273050"/>
          <wp:effectExtent l="0" t="0" r="0" b="0"/>
          <wp:docPr id="1" name="图片 1"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273050"/>
                  </a:xfrm>
                  <a:prstGeom prst="rect">
                    <a:avLst/>
                  </a:prstGeom>
                  <a:noFill/>
                  <a:ln>
                    <a:noFill/>
                  </a:ln>
                </pic:spPr>
              </pic:pic>
            </a:graphicData>
          </a:graphic>
        </wp:inline>
      </w:drawing>
    </w:r>
    <w:r>
      <w:rPr>
        <w:i/>
        <w:sz w:val="22"/>
      </w:rPr>
      <w:t xml:space="preserve"> </w:t>
    </w:r>
    <w:r>
      <w:rPr>
        <w:i/>
        <w:szCs w:val="13"/>
      </w:rPr>
      <w:t xml:space="preserve">   </w:t>
    </w:r>
    <w:r>
      <w:rPr>
        <w:rFonts w:hint="eastAsia"/>
        <w:i/>
        <w:szCs w:val="13"/>
      </w:rPr>
      <w:t xml:space="preserve">    </w:t>
    </w:r>
    <w:r>
      <w:rPr>
        <w:i/>
        <w:szCs w:val="13"/>
      </w:rPr>
      <w:t xml:space="preserve"> Announcement on Repurchase and Cancellation of Incentive Restricted Shares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C77E" w14:textId="77777777" w:rsidR="0033334A" w:rsidRDefault="003333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18E088"/>
    <w:multiLevelType w:val="singleLevel"/>
    <w:tmpl w:val="9618E088"/>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68"/>
    <w:rsid w:val="000005DD"/>
    <w:rsid w:val="00014B23"/>
    <w:rsid w:val="000176DC"/>
    <w:rsid w:val="00020678"/>
    <w:rsid w:val="000248E1"/>
    <w:rsid w:val="00026EAA"/>
    <w:rsid w:val="00027FC7"/>
    <w:rsid w:val="0003777E"/>
    <w:rsid w:val="000420CC"/>
    <w:rsid w:val="00046E85"/>
    <w:rsid w:val="00047F6C"/>
    <w:rsid w:val="000503BA"/>
    <w:rsid w:val="0005105E"/>
    <w:rsid w:val="00063D53"/>
    <w:rsid w:val="00064290"/>
    <w:rsid w:val="00064904"/>
    <w:rsid w:val="000679D3"/>
    <w:rsid w:val="00071FE2"/>
    <w:rsid w:val="00072482"/>
    <w:rsid w:val="000731E0"/>
    <w:rsid w:val="000814E3"/>
    <w:rsid w:val="00082E4E"/>
    <w:rsid w:val="0008583F"/>
    <w:rsid w:val="000A111F"/>
    <w:rsid w:val="000A3EDD"/>
    <w:rsid w:val="000A6341"/>
    <w:rsid w:val="000B0331"/>
    <w:rsid w:val="000B13EA"/>
    <w:rsid w:val="000B146E"/>
    <w:rsid w:val="000B4577"/>
    <w:rsid w:val="000B4724"/>
    <w:rsid w:val="000B7F88"/>
    <w:rsid w:val="000C32B5"/>
    <w:rsid w:val="000C5452"/>
    <w:rsid w:val="000C73F1"/>
    <w:rsid w:val="000C7DDD"/>
    <w:rsid w:val="000D6CF5"/>
    <w:rsid w:val="000E292B"/>
    <w:rsid w:val="000E3C60"/>
    <w:rsid w:val="000E5222"/>
    <w:rsid w:val="000E529D"/>
    <w:rsid w:val="000E5CFE"/>
    <w:rsid w:val="000E7DAD"/>
    <w:rsid w:val="000E7E8A"/>
    <w:rsid w:val="000F0B62"/>
    <w:rsid w:val="000F2135"/>
    <w:rsid w:val="000F2C9A"/>
    <w:rsid w:val="000F2E7B"/>
    <w:rsid w:val="000F3655"/>
    <w:rsid w:val="000F3B39"/>
    <w:rsid w:val="000F60D8"/>
    <w:rsid w:val="00101867"/>
    <w:rsid w:val="00103F36"/>
    <w:rsid w:val="001117E5"/>
    <w:rsid w:val="00111AF9"/>
    <w:rsid w:val="00113EED"/>
    <w:rsid w:val="00114CFA"/>
    <w:rsid w:val="00126547"/>
    <w:rsid w:val="0014016E"/>
    <w:rsid w:val="0014485C"/>
    <w:rsid w:val="0015223A"/>
    <w:rsid w:val="00156295"/>
    <w:rsid w:val="00161022"/>
    <w:rsid w:val="00177579"/>
    <w:rsid w:val="00182AA6"/>
    <w:rsid w:val="00191FE2"/>
    <w:rsid w:val="001925F5"/>
    <w:rsid w:val="00195125"/>
    <w:rsid w:val="001A4EE9"/>
    <w:rsid w:val="001B1ED3"/>
    <w:rsid w:val="001B34E9"/>
    <w:rsid w:val="001B4B30"/>
    <w:rsid w:val="001B5AFD"/>
    <w:rsid w:val="001B5E5D"/>
    <w:rsid w:val="001C5AC8"/>
    <w:rsid w:val="001D23EB"/>
    <w:rsid w:val="001D33AE"/>
    <w:rsid w:val="001D70D8"/>
    <w:rsid w:val="001E00E6"/>
    <w:rsid w:val="001E12E8"/>
    <w:rsid w:val="001E3E56"/>
    <w:rsid w:val="001F378C"/>
    <w:rsid w:val="001F473C"/>
    <w:rsid w:val="00200382"/>
    <w:rsid w:val="0020039E"/>
    <w:rsid w:val="00200791"/>
    <w:rsid w:val="002031ED"/>
    <w:rsid w:val="0020769C"/>
    <w:rsid w:val="00230F29"/>
    <w:rsid w:val="00234E60"/>
    <w:rsid w:val="00235059"/>
    <w:rsid w:val="00242473"/>
    <w:rsid w:val="0024279C"/>
    <w:rsid w:val="00242D1F"/>
    <w:rsid w:val="00244350"/>
    <w:rsid w:val="00254F68"/>
    <w:rsid w:val="00257153"/>
    <w:rsid w:val="00257631"/>
    <w:rsid w:val="00257870"/>
    <w:rsid w:val="0027487F"/>
    <w:rsid w:val="002756D5"/>
    <w:rsid w:val="00283E71"/>
    <w:rsid w:val="002967C8"/>
    <w:rsid w:val="00296C61"/>
    <w:rsid w:val="002B32C8"/>
    <w:rsid w:val="002C034C"/>
    <w:rsid w:val="002C3E52"/>
    <w:rsid w:val="002C546E"/>
    <w:rsid w:val="002C7B56"/>
    <w:rsid w:val="002D1431"/>
    <w:rsid w:val="002D298B"/>
    <w:rsid w:val="002D5379"/>
    <w:rsid w:val="002D5388"/>
    <w:rsid w:val="002D7D00"/>
    <w:rsid w:val="002E1117"/>
    <w:rsid w:val="002F4D84"/>
    <w:rsid w:val="002F79F9"/>
    <w:rsid w:val="00306E68"/>
    <w:rsid w:val="00315D9C"/>
    <w:rsid w:val="00322FD1"/>
    <w:rsid w:val="00325AC9"/>
    <w:rsid w:val="00332C5B"/>
    <w:rsid w:val="0033334A"/>
    <w:rsid w:val="003379F6"/>
    <w:rsid w:val="00343002"/>
    <w:rsid w:val="003520B0"/>
    <w:rsid w:val="00353BB6"/>
    <w:rsid w:val="00356A9D"/>
    <w:rsid w:val="0036526C"/>
    <w:rsid w:val="0036778D"/>
    <w:rsid w:val="00370D24"/>
    <w:rsid w:val="00370DD3"/>
    <w:rsid w:val="00373FA0"/>
    <w:rsid w:val="003759CB"/>
    <w:rsid w:val="00391279"/>
    <w:rsid w:val="00392504"/>
    <w:rsid w:val="003973A3"/>
    <w:rsid w:val="003A75A9"/>
    <w:rsid w:val="003B4666"/>
    <w:rsid w:val="003C0E9C"/>
    <w:rsid w:val="003D0C17"/>
    <w:rsid w:val="003D3482"/>
    <w:rsid w:val="003D53F8"/>
    <w:rsid w:val="003E4954"/>
    <w:rsid w:val="003F2236"/>
    <w:rsid w:val="003F2A58"/>
    <w:rsid w:val="003F7690"/>
    <w:rsid w:val="003F7D7D"/>
    <w:rsid w:val="00401C35"/>
    <w:rsid w:val="004039C7"/>
    <w:rsid w:val="00410199"/>
    <w:rsid w:val="00416BB7"/>
    <w:rsid w:val="00417B78"/>
    <w:rsid w:val="0042138D"/>
    <w:rsid w:val="004275FC"/>
    <w:rsid w:val="00445D9F"/>
    <w:rsid w:val="00472FFE"/>
    <w:rsid w:val="00477215"/>
    <w:rsid w:val="0048019F"/>
    <w:rsid w:val="00485C41"/>
    <w:rsid w:val="00490DED"/>
    <w:rsid w:val="00491A7D"/>
    <w:rsid w:val="00491CDF"/>
    <w:rsid w:val="00491F09"/>
    <w:rsid w:val="00492C46"/>
    <w:rsid w:val="004964C2"/>
    <w:rsid w:val="004967B2"/>
    <w:rsid w:val="004A12D6"/>
    <w:rsid w:val="004A6D01"/>
    <w:rsid w:val="004B1353"/>
    <w:rsid w:val="004B7ED0"/>
    <w:rsid w:val="004C0722"/>
    <w:rsid w:val="004C5973"/>
    <w:rsid w:val="004C6E1F"/>
    <w:rsid w:val="004D05DD"/>
    <w:rsid w:val="004E6C40"/>
    <w:rsid w:val="004F7FAF"/>
    <w:rsid w:val="00501E37"/>
    <w:rsid w:val="005021CB"/>
    <w:rsid w:val="005046F5"/>
    <w:rsid w:val="005068E6"/>
    <w:rsid w:val="005126BF"/>
    <w:rsid w:val="00515138"/>
    <w:rsid w:val="005159C4"/>
    <w:rsid w:val="005228DB"/>
    <w:rsid w:val="00523FB5"/>
    <w:rsid w:val="0053498C"/>
    <w:rsid w:val="00537692"/>
    <w:rsid w:val="00552F00"/>
    <w:rsid w:val="00556879"/>
    <w:rsid w:val="00556EFB"/>
    <w:rsid w:val="005609AD"/>
    <w:rsid w:val="00562332"/>
    <w:rsid w:val="00562B14"/>
    <w:rsid w:val="00562CD2"/>
    <w:rsid w:val="00567D7B"/>
    <w:rsid w:val="00572270"/>
    <w:rsid w:val="005938FD"/>
    <w:rsid w:val="005A6FD8"/>
    <w:rsid w:val="005B713B"/>
    <w:rsid w:val="005B7444"/>
    <w:rsid w:val="005C0BF0"/>
    <w:rsid w:val="005C14EA"/>
    <w:rsid w:val="005C1811"/>
    <w:rsid w:val="005C21EC"/>
    <w:rsid w:val="005D0B0F"/>
    <w:rsid w:val="005D32CC"/>
    <w:rsid w:val="005D7850"/>
    <w:rsid w:val="005E385F"/>
    <w:rsid w:val="005E42AA"/>
    <w:rsid w:val="005F44A4"/>
    <w:rsid w:val="00603947"/>
    <w:rsid w:val="0060739F"/>
    <w:rsid w:val="00610A49"/>
    <w:rsid w:val="00611B0B"/>
    <w:rsid w:val="00611C20"/>
    <w:rsid w:val="00613D2A"/>
    <w:rsid w:val="00613EA9"/>
    <w:rsid w:val="0061655D"/>
    <w:rsid w:val="00617DD5"/>
    <w:rsid w:val="0062039F"/>
    <w:rsid w:val="00621D26"/>
    <w:rsid w:val="006236DA"/>
    <w:rsid w:val="006277B4"/>
    <w:rsid w:val="00630F5A"/>
    <w:rsid w:val="006324BE"/>
    <w:rsid w:val="0064464E"/>
    <w:rsid w:val="00645510"/>
    <w:rsid w:val="00651993"/>
    <w:rsid w:val="00660F3A"/>
    <w:rsid w:val="0067225C"/>
    <w:rsid w:val="00684275"/>
    <w:rsid w:val="006861E9"/>
    <w:rsid w:val="00687FC8"/>
    <w:rsid w:val="006920F4"/>
    <w:rsid w:val="00692341"/>
    <w:rsid w:val="0069326D"/>
    <w:rsid w:val="006947E7"/>
    <w:rsid w:val="00694B92"/>
    <w:rsid w:val="00697268"/>
    <w:rsid w:val="006972F6"/>
    <w:rsid w:val="00697A73"/>
    <w:rsid w:val="006A074E"/>
    <w:rsid w:val="006A0A25"/>
    <w:rsid w:val="006B1F51"/>
    <w:rsid w:val="006C0292"/>
    <w:rsid w:val="006D0384"/>
    <w:rsid w:val="006D5437"/>
    <w:rsid w:val="006D64D3"/>
    <w:rsid w:val="006E0816"/>
    <w:rsid w:val="006F1815"/>
    <w:rsid w:val="006F7A26"/>
    <w:rsid w:val="007042B3"/>
    <w:rsid w:val="0070469B"/>
    <w:rsid w:val="007063FC"/>
    <w:rsid w:val="00715E37"/>
    <w:rsid w:val="0072538D"/>
    <w:rsid w:val="00731364"/>
    <w:rsid w:val="007340CC"/>
    <w:rsid w:val="0073547E"/>
    <w:rsid w:val="00735CFA"/>
    <w:rsid w:val="0073711A"/>
    <w:rsid w:val="00737BD0"/>
    <w:rsid w:val="00745E26"/>
    <w:rsid w:val="007566B7"/>
    <w:rsid w:val="00762704"/>
    <w:rsid w:val="00767015"/>
    <w:rsid w:val="007759F6"/>
    <w:rsid w:val="0079214D"/>
    <w:rsid w:val="00794C15"/>
    <w:rsid w:val="007A2B25"/>
    <w:rsid w:val="007A4D18"/>
    <w:rsid w:val="007A5596"/>
    <w:rsid w:val="007A7D96"/>
    <w:rsid w:val="007C0696"/>
    <w:rsid w:val="007C2B69"/>
    <w:rsid w:val="007C3A12"/>
    <w:rsid w:val="007C7914"/>
    <w:rsid w:val="007D0A55"/>
    <w:rsid w:val="007E264B"/>
    <w:rsid w:val="007E3142"/>
    <w:rsid w:val="007E36B2"/>
    <w:rsid w:val="007E37E0"/>
    <w:rsid w:val="007E4EEA"/>
    <w:rsid w:val="007F07EA"/>
    <w:rsid w:val="007F724A"/>
    <w:rsid w:val="00804E67"/>
    <w:rsid w:val="00821E73"/>
    <w:rsid w:val="00822336"/>
    <w:rsid w:val="00822535"/>
    <w:rsid w:val="008278BA"/>
    <w:rsid w:val="00830BA9"/>
    <w:rsid w:val="00830BC4"/>
    <w:rsid w:val="00833D2E"/>
    <w:rsid w:val="008357DD"/>
    <w:rsid w:val="0083788C"/>
    <w:rsid w:val="008410FC"/>
    <w:rsid w:val="0084699A"/>
    <w:rsid w:val="00851C74"/>
    <w:rsid w:val="008572FF"/>
    <w:rsid w:val="008706D6"/>
    <w:rsid w:val="00871FC8"/>
    <w:rsid w:val="0087271E"/>
    <w:rsid w:val="00874963"/>
    <w:rsid w:val="00877432"/>
    <w:rsid w:val="008802D5"/>
    <w:rsid w:val="008822AA"/>
    <w:rsid w:val="0088232B"/>
    <w:rsid w:val="00891EB5"/>
    <w:rsid w:val="008946D0"/>
    <w:rsid w:val="008A018A"/>
    <w:rsid w:val="008A0587"/>
    <w:rsid w:val="008A546E"/>
    <w:rsid w:val="008B1168"/>
    <w:rsid w:val="008B7A99"/>
    <w:rsid w:val="008D286C"/>
    <w:rsid w:val="008D560C"/>
    <w:rsid w:val="008E1D3C"/>
    <w:rsid w:val="008E3B36"/>
    <w:rsid w:val="008F304D"/>
    <w:rsid w:val="008F3485"/>
    <w:rsid w:val="008F392F"/>
    <w:rsid w:val="00901229"/>
    <w:rsid w:val="00907F41"/>
    <w:rsid w:val="00922F96"/>
    <w:rsid w:val="009312DE"/>
    <w:rsid w:val="00932937"/>
    <w:rsid w:val="00933517"/>
    <w:rsid w:val="00935675"/>
    <w:rsid w:val="00936093"/>
    <w:rsid w:val="00936527"/>
    <w:rsid w:val="00937CFF"/>
    <w:rsid w:val="0094033B"/>
    <w:rsid w:val="00941A38"/>
    <w:rsid w:val="00951081"/>
    <w:rsid w:val="00955247"/>
    <w:rsid w:val="00957CA7"/>
    <w:rsid w:val="00960FFA"/>
    <w:rsid w:val="00962D96"/>
    <w:rsid w:val="00963CF9"/>
    <w:rsid w:val="0096435C"/>
    <w:rsid w:val="009673E8"/>
    <w:rsid w:val="00967E47"/>
    <w:rsid w:val="009724D7"/>
    <w:rsid w:val="00974E95"/>
    <w:rsid w:val="009832A3"/>
    <w:rsid w:val="009850F9"/>
    <w:rsid w:val="00987870"/>
    <w:rsid w:val="00991A5D"/>
    <w:rsid w:val="00991C2D"/>
    <w:rsid w:val="009A1606"/>
    <w:rsid w:val="009A5D56"/>
    <w:rsid w:val="009C0B2F"/>
    <w:rsid w:val="009C10B2"/>
    <w:rsid w:val="009E4485"/>
    <w:rsid w:val="009E5D93"/>
    <w:rsid w:val="009F02F0"/>
    <w:rsid w:val="009F076C"/>
    <w:rsid w:val="009F1401"/>
    <w:rsid w:val="009F5E8E"/>
    <w:rsid w:val="00A006D9"/>
    <w:rsid w:val="00A00FB9"/>
    <w:rsid w:val="00A04C27"/>
    <w:rsid w:val="00A103AD"/>
    <w:rsid w:val="00A1178C"/>
    <w:rsid w:val="00A3089A"/>
    <w:rsid w:val="00A3527C"/>
    <w:rsid w:val="00A35B29"/>
    <w:rsid w:val="00A41D73"/>
    <w:rsid w:val="00A446F9"/>
    <w:rsid w:val="00A537DB"/>
    <w:rsid w:val="00A53C2C"/>
    <w:rsid w:val="00A543A2"/>
    <w:rsid w:val="00A657F5"/>
    <w:rsid w:val="00A66472"/>
    <w:rsid w:val="00A70927"/>
    <w:rsid w:val="00A71F9E"/>
    <w:rsid w:val="00A83647"/>
    <w:rsid w:val="00A837BE"/>
    <w:rsid w:val="00A842F6"/>
    <w:rsid w:val="00A84B2F"/>
    <w:rsid w:val="00A92151"/>
    <w:rsid w:val="00A94EEC"/>
    <w:rsid w:val="00A9565D"/>
    <w:rsid w:val="00AA066F"/>
    <w:rsid w:val="00AA3551"/>
    <w:rsid w:val="00AA6FFB"/>
    <w:rsid w:val="00AB5B4C"/>
    <w:rsid w:val="00AB6FA2"/>
    <w:rsid w:val="00AB702A"/>
    <w:rsid w:val="00AD37F8"/>
    <w:rsid w:val="00AD7B0B"/>
    <w:rsid w:val="00AE085A"/>
    <w:rsid w:val="00AE11FD"/>
    <w:rsid w:val="00AE7579"/>
    <w:rsid w:val="00AE7783"/>
    <w:rsid w:val="00AF520E"/>
    <w:rsid w:val="00AF785F"/>
    <w:rsid w:val="00B02CD6"/>
    <w:rsid w:val="00B05895"/>
    <w:rsid w:val="00B06B61"/>
    <w:rsid w:val="00B10B80"/>
    <w:rsid w:val="00B12953"/>
    <w:rsid w:val="00B12B83"/>
    <w:rsid w:val="00B27822"/>
    <w:rsid w:val="00B3058A"/>
    <w:rsid w:val="00B31CA7"/>
    <w:rsid w:val="00B34780"/>
    <w:rsid w:val="00B41CE5"/>
    <w:rsid w:val="00B421CA"/>
    <w:rsid w:val="00B42B6D"/>
    <w:rsid w:val="00B45A44"/>
    <w:rsid w:val="00B46E68"/>
    <w:rsid w:val="00B472F0"/>
    <w:rsid w:val="00B47A90"/>
    <w:rsid w:val="00B50127"/>
    <w:rsid w:val="00B53BE3"/>
    <w:rsid w:val="00B5422C"/>
    <w:rsid w:val="00B5581F"/>
    <w:rsid w:val="00B56458"/>
    <w:rsid w:val="00B5656A"/>
    <w:rsid w:val="00B63F6B"/>
    <w:rsid w:val="00B73998"/>
    <w:rsid w:val="00B77708"/>
    <w:rsid w:val="00B86C79"/>
    <w:rsid w:val="00B90B1E"/>
    <w:rsid w:val="00B91D0C"/>
    <w:rsid w:val="00B920AB"/>
    <w:rsid w:val="00B94A50"/>
    <w:rsid w:val="00B94E01"/>
    <w:rsid w:val="00BA4F4B"/>
    <w:rsid w:val="00BB1014"/>
    <w:rsid w:val="00BB1DFA"/>
    <w:rsid w:val="00BB1FAD"/>
    <w:rsid w:val="00BB663A"/>
    <w:rsid w:val="00BC101E"/>
    <w:rsid w:val="00BC298F"/>
    <w:rsid w:val="00BC3DB5"/>
    <w:rsid w:val="00BC4331"/>
    <w:rsid w:val="00BE065B"/>
    <w:rsid w:val="00BE2C81"/>
    <w:rsid w:val="00BE3E78"/>
    <w:rsid w:val="00BE4CCD"/>
    <w:rsid w:val="00BE7717"/>
    <w:rsid w:val="00BE777F"/>
    <w:rsid w:val="00BF1E41"/>
    <w:rsid w:val="00BF75A4"/>
    <w:rsid w:val="00BF7779"/>
    <w:rsid w:val="00C02D4D"/>
    <w:rsid w:val="00C10626"/>
    <w:rsid w:val="00C108D4"/>
    <w:rsid w:val="00C12A69"/>
    <w:rsid w:val="00C139AE"/>
    <w:rsid w:val="00C1628B"/>
    <w:rsid w:val="00C16E21"/>
    <w:rsid w:val="00C21574"/>
    <w:rsid w:val="00C21C74"/>
    <w:rsid w:val="00C221EF"/>
    <w:rsid w:val="00C22268"/>
    <w:rsid w:val="00C313A6"/>
    <w:rsid w:val="00C33C56"/>
    <w:rsid w:val="00C348CE"/>
    <w:rsid w:val="00C357E7"/>
    <w:rsid w:val="00C439C6"/>
    <w:rsid w:val="00C50B7B"/>
    <w:rsid w:val="00C51479"/>
    <w:rsid w:val="00C57D5F"/>
    <w:rsid w:val="00C57F40"/>
    <w:rsid w:val="00C610FC"/>
    <w:rsid w:val="00C6271D"/>
    <w:rsid w:val="00C71B6A"/>
    <w:rsid w:val="00C71C8A"/>
    <w:rsid w:val="00C80BD5"/>
    <w:rsid w:val="00C83756"/>
    <w:rsid w:val="00C92762"/>
    <w:rsid w:val="00C92A5E"/>
    <w:rsid w:val="00CA12F2"/>
    <w:rsid w:val="00CA2065"/>
    <w:rsid w:val="00CA3D70"/>
    <w:rsid w:val="00CB0BF3"/>
    <w:rsid w:val="00CB55B3"/>
    <w:rsid w:val="00CB593C"/>
    <w:rsid w:val="00CB5BCA"/>
    <w:rsid w:val="00CB75EF"/>
    <w:rsid w:val="00CC17D0"/>
    <w:rsid w:val="00CD1231"/>
    <w:rsid w:val="00CD2B2B"/>
    <w:rsid w:val="00CD7627"/>
    <w:rsid w:val="00CE20CB"/>
    <w:rsid w:val="00CE50C4"/>
    <w:rsid w:val="00CE6233"/>
    <w:rsid w:val="00CE79F4"/>
    <w:rsid w:val="00CF270D"/>
    <w:rsid w:val="00CF319A"/>
    <w:rsid w:val="00CF7016"/>
    <w:rsid w:val="00D01E8E"/>
    <w:rsid w:val="00D032C2"/>
    <w:rsid w:val="00D06763"/>
    <w:rsid w:val="00D12425"/>
    <w:rsid w:val="00D12950"/>
    <w:rsid w:val="00D167F1"/>
    <w:rsid w:val="00D200C4"/>
    <w:rsid w:val="00D20E23"/>
    <w:rsid w:val="00D2121C"/>
    <w:rsid w:val="00D25270"/>
    <w:rsid w:val="00D31A82"/>
    <w:rsid w:val="00D31E83"/>
    <w:rsid w:val="00D416D1"/>
    <w:rsid w:val="00D420F0"/>
    <w:rsid w:val="00D427F5"/>
    <w:rsid w:val="00D457C5"/>
    <w:rsid w:val="00D47B54"/>
    <w:rsid w:val="00D5107E"/>
    <w:rsid w:val="00D544D2"/>
    <w:rsid w:val="00D55848"/>
    <w:rsid w:val="00D60DC8"/>
    <w:rsid w:val="00D61B60"/>
    <w:rsid w:val="00D74E5F"/>
    <w:rsid w:val="00D92504"/>
    <w:rsid w:val="00D92CE7"/>
    <w:rsid w:val="00D93A6A"/>
    <w:rsid w:val="00D9476F"/>
    <w:rsid w:val="00DA0133"/>
    <w:rsid w:val="00DA58E7"/>
    <w:rsid w:val="00DA6D4C"/>
    <w:rsid w:val="00DB430C"/>
    <w:rsid w:val="00DD31BD"/>
    <w:rsid w:val="00DD4987"/>
    <w:rsid w:val="00DD6D7D"/>
    <w:rsid w:val="00DE162D"/>
    <w:rsid w:val="00DE2E34"/>
    <w:rsid w:val="00DE3528"/>
    <w:rsid w:val="00DE486F"/>
    <w:rsid w:val="00DE4A0D"/>
    <w:rsid w:val="00DE5565"/>
    <w:rsid w:val="00DE77E7"/>
    <w:rsid w:val="00DF2705"/>
    <w:rsid w:val="00DF4435"/>
    <w:rsid w:val="00E01237"/>
    <w:rsid w:val="00E10046"/>
    <w:rsid w:val="00E134A9"/>
    <w:rsid w:val="00E16760"/>
    <w:rsid w:val="00E1763F"/>
    <w:rsid w:val="00E24EC0"/>
    <w:rsid w:val="00E30A8D"/>
    <w:rsid w:val="00E437FA"/>
    <w:rsid w:val="00E43B7C"/>
    <w:rsid w:val="00E44623"/>
    <w:rsid w:val="00E44832"/>
    <w:rsid w:val="00E47E30"/>
    <w:rsid w:val="00E5057D"/>
    <w:rsid w:val="00E544CC"/>
    <w:rsid w:val="00E54F6D"/>
    <w:rsid w:val="00E60A6F"/>
    <w:rsid w:val="00E62E49"/>
    <w:rsid w:val="00E7208D"/>
    <w:rsid w:val="00E8603C"/>
    <w:rsid w:val="00E86A0C"/>
    <w:rsid w:val="00E87284"/>
    <w:rsid w:val="00E92093"/>
    <w:rsid w:val="00E95C5D"/>
    <w:rsid w:val="00E96313"/>
    <w:rsid w:val="00E9697A"/>
    <w:rsid w:val="00EA0C09"/>
    <w:rsid w:val="00EB1F72"/>
    <w:rsid w:val="00EC27A6"/>
    <w:rsid w:val="00ED2886"/>
    <w:rsid w:val="00ED54D2"/>
    <w:rsid w:val="00ED6B4D"/>
    <w:rsid w:val="00EE0472"/>
    <w:rsid w:val="00EE0986"/>
    <w:rsid w:val="00EE2EE9"/>
    <w:rsid w:val="00EE38FF"/>
    <w:rsid w:val="00EF2044"/>
    <w:rsid w:val="00EF2745"/>
    <w:rsid w:val="00EF3C5E"/>
    <w:rsid w:val="00EF7CDA"/>
    <w:rsid w:val="00F017BE"/>
    <w:rsid w:val="00F158AB"/>
    <w:rsid w:val="00F16F6B"/>
    <w:rsid w:val="00F23248"/>
    <w:rsid w:val="00F34FB3"/>
    <w:rsid w:val="00F42962"/>
    <w:rsid w:val="00F42D07"/>
    <w:rsid w:val="00F42F51"/>
    <w:rsid w:val="00F459D8"/>
    <w:rsid w:val="00F551A8"/>
    <w:rsid w:val="00F55580"/>
    <w:rsid w:val="00F5790C"/>
    <w:rsid w:val="00F66352"/>
    <w:rsid w:val="00F7053F"/>
    <w:rsid w:val="00F70B16"/>
    <w:rsid w:val="00F72D03"/>
    <w:rsid w:val="00F75F6B"/>
    <w:rsid w:val="00F777B6"/>
    <w:rsid w:val="00F80CB4"/>
    <w:rsid w:val="00F82B4B"/>
    <w:rsid w:val="00F836F4"/>
    <w:rsid w:val="00F90C6B"/>
    <w:rsid w:val="00F94B60"/>
    <w:rsid w:val="00F97F0C"/>
    <w:rsid w:val="00FA1390"/>
    <w:rsid w:val="00FA6EE3"/>
    <w:rsid w:val="00FB0804"/>
    <w:rsid w:val="00FB2D71"/>
    <w:rsid w:val="00FE006F"/>
    <w:rsid w:val="00FE2A80"/>
    <w:rsid w:val="00FE4E59"/>
    <w:rsid w:val="00FE7901"/>
    <w:rsid w:val="00FE7968"/>
    <w:rsid w:val="00FF0511"/>
    <w:rsid w:val="00FF58FB"/>
    <w:rsid w:val="04D330E5"/>
    <w:rsid w:val="0649008D"/>
    <w:rsid w:val="0A386211"/>
    <w:rsid w:val="0AAD0BD3"/>
    <w:rsid w:val="0B300F0F"/>
    <w:rsid w:val="0F211F82"/>
    <w:rsid w:val="101F551A"/>
    <w:rsid w:val="1122167C"/>
    <w:rsid w:val="11B5604C"/>
    <w:rsid w:val="12733AF2"/>
    <w:rsid w:val="13D320D8"/>
    <w:rsid w:val="14A03664"/>
    <w:rsid w:val="14E52F1E"/>
    <w:rsid w:val="15C446DC"/>
    <w:rsid w:val="1AE62BA0"/>
    <w:rsid w:val="1E9B0BF9"/>
    <w:rsid w:val="1F122D30"/>
    <w:rsid w:val="21561B12"/>
    <w:rsid w:val="2337002B"/>
    <w:rsid w:val="23637441"/>
    <w:rsid w:val="2413219D"/>
    <w:rsid w:val="28150C75"/>
    <w:rsid w:val="293B2E83"/>
    <w:rsid w:val="29903C7B"/>
    <w:rsid w:val="29CA4207"/>
    <w:rsid w:val="2A8820F8"/>
    <w:rsid w:val="2B86406E"/>
    <w:rsid w:val="31352C85"/>
    <w:rsid w:val="31CF685F"/>
    <w:rsid w:val="31FC517A"/>
    <w:rsid w:val="32113B92"/>
    <w:rsid w:val="32D61E6F"/>
    <w:rsid w:val="33185FE3"/>
    <w:rsid w:val="34C46423"/>
    <w:rsid w:val="37E8405C"/>
    <w:rsid w:val="38B90269"/>
    <w:rsid w:val="396D6D0A"/>
    <w:rsid w:val="398100FC"/>
    <w:rsid w:val="406E36E7"/>
    <w:rsid w:val="40A8331D"/>
    <w:rsid w:val="412359A4"/>
    <w:rsid w:val="41375316"/>
    <w:rsid w:val="44D4379B"/>
    <w:rsid w:val="4B67296A"/>
    <w:rsid w:val="4FC155E1"/>
    <w:rsid w:val="50DC76C5"/>
    <w:rsid w:val="55BA48FC"/>
    <w:rsid w:val="57EF1159"/>
    <w:rsid w:val="583B3F3B"/>
    <w:rsid w:val="5A9E32A7"/>
    <w:rsid w:val="5E9B4D4C"/>
    <w:rsid w:val="627809E6"/>
    <w:rsid w:val="63F61158"/>
    <w:rsid w:val="68365E5B"/>
    <w:rsid w:val="6BFE0EA4"/>
    <w:rsid w:val="6E7D0E15"/>
    <w:rsid w:val="6F2E3A1A"/>
    <w:rsid w:val="6FAD572A"/>
    <w:rsid w:val="6FBC1A51"/>
    <w:rsid w:val="718D136F"/>
    <w:rsid w:val="76AC04E9"/>
    <w:rsid w:val="77F10BE5"/>
    <w:rsid w:val="7879264D"/>
    <w:rsid w:val="78801DDB"/>
    <w:rsid w:val="7A3B6745"/>
    <w:rsid w:val="7B272834"/>
    <w:rsid w:val="7BF36627"/>
    <w:rsid w:val="7D802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E725E"/>
  <w15:docId w15:val="{757BF935-5399-4E7C-B3B4-F2830D6B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rFonts w:asciiTheme="minorHAnsi" w:eastAsiaTheme="minorEastAsia" w:hAnsiTheme="minorHAnsi" w:cstheme="minorBidi"/>
      <w:b/>
      <w:kern w:val="44"/>
      <w:sz w:val="44"/>
      <w:szCs w:val="2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cstheme="minorBidi"/>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10">
    <w:name w:val="标题 1 字符"/>
    <w:basedOn w:val="a0"/>
    <w:link w:val="1"/>
    <w:qFormat/>
    <w:rPr>
      <w:b/>
      <w:kern w:val="44"/>
      <w:sz w:val="44"/>
      <w:szCs w:val="24"/>
    </w:rPr>
  </w:style>
  <w:style w:type="character" w:customStyle="1" w:styleId="20">
    <w:name w:val="标题 2 字符"/>
    <w:basedOn w:val="a0"/>
    <w:link w:val="2"/>
    <w:semiHidden/>
    <w:qFormat/>
    <w:rPr>
      <w:rFonts w:ascii="Arial" w:eastAsia="黑体" w:hAnsi="Arial"/>
      <w:b/>
      <w:kern w:val="2"/>
      <w:sz w:val="32"/>
      <w:szCs w:val="24"/>
    </w:rPr>
  </w:style>
  <w:style w:type="paragraph" w:customStyle="1" w:styleId="1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1526</Words>
  <Characters>8828</Characters>
  <Application>Microsoft Office Word</Application>
  <DocSecurity>0</DocSecurity>
  <Lines>73</Lines>
  <Paragraphs>20</Paragraphs>
  <ScaleCrop>false</ScaleCrop>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演示人</cp:lastModifiedBy>
  <cp:revision>19</cp:revision>
  <dcterms:created xsi:type="dcterms:W3CDTF">2025-06-10T01:01:00Z</dcterms:created>
  <dcterms:modified xsi:type="dcterms:W3CDTF">2025-10-28T08:28:00Z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eyJoZGlkIjoiOWFkY2U2M2Y5OThiYjEwYTk5Y2M0ZTg2NmUzOWU3YTAiLCJ1c2VySWQiOiIxMTI5MjA3ODMwIn0=</vt:lpwstr>
  </property>
  <property fmtid="{D5CDD505-2E9C-101B-9397-08002B2CF9AE}" pid="3" name="KSOProductBuildVer">
    <vt:lpwstr>2052-12.1.0.22529</vt:lpwstr>
  </property>
  <property fmtid="{D5CDD505-2E9C-101B-9397-08002B2CF9AE}" pid="4" name="ICV">
    <vt:lpwstr>B2564120819549A0B745CA9B52465A99_13</vt:lpwstr>
  </property>
</Properties>
</file>